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C" w:rsidRDefault="00612E4C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ab/>
      </w: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Pr="00072A32" w:rsidRDefault="00BB7BD8" w:rsidP="00072A32">
      <w:pPr>
        <w:tabs>
          <w:tab w:val="left" w:pos="4143"/>
          <w:tab w:val="center" w:pos="4734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лісоуправління </w:t>
      </w:r>
    </w:p>
    <w:p w:rsidR="00072A32" w:rsidRPr="00072A32" w:rsidRDefault="00072A32" w:rsidP="00072A32">
      <w:pPr>
        <w:tabs>
          <w:tab w:val="left" w:pos="4143"/>
          <w:tab w:val="center" w:pos="47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ДП «Вищедубечанське лісове господарство»</w:t>
      </w: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072A32" w:rsidRPr="0096237B" w:rsidRDefault="00072A32" w:rsidP="00072A32">
      <w:pPr>
        <w:tabs>
          <w:tab w:val="left" w:pos="4143"/>
          <w:tab w:val="center" w:pos="4734"/>
        </w:tabs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Pr="00072A32" w:rsidRDefault="00072A32" w:rsidP="00DA6D14">
      <w:pPr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2019 р.</w:t>
      </w:r>
    </w:p>
    <w:p w:rsidR="00612E4C" w:rsidRPr="0096237B" w:rsidRDefault="00072A32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Вступ</w:t>
      </w:r>
      <w:r w:rsidR="00612E4C" w:rsidRPr="0096237B">
        <w:rPr>
          <w:rFonts w:ascii="Times New Roman" w:hAnsi="Times New Roman"/>
          <w:b/>
          <w:sz w:val="24"/>
          <w:szCs w:val="24"/>
        </w:rPr>
        <w:t>…...………………………………………………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="00A47A2C">
        <w:rPr>
          <w:rFonts w:ascii="Times New Roman" w:hAnsi="Times New Roman"/>
          <w:b/>
          <w:sz w:val="24"/>
          <w:szCs w:val="24"/>
        </w:rPr>
        <w:t xml:space="preserve"> 3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 xml:space="preserve">1. Цілі і задачі ведення лісового господарства і лісокористування. …………. </w:t>
      </w:r>
      <w:r w:rsidR="00072A32">
        <w:rPr>
          <w:rFonts w:ascii="Times New Roman" w:hAnsi="Times New Roman"/>
          <w:b/>
          <w:sz w:val="24"/>
          <w:szCs w:val="24"/>
        </w:rPr>
        <w:t>.</w:t>
      </w:r>
      <w:r w:rsidRPr="0096237B">
        <w:rPr>
          <w:rFonts w:ascii="Times New Roman" w:hAnsi="Times New Roman"/>
          <w:b/>
          <w:sz w:val="24"/>
          <w:szCs w:val="24"/>
        </w:rPr>
        <w:t xml:space="preserve"> . . . . . .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>2.  Характеристика лісових  ресурсів………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…………………………………….. . . . . . . . 4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>3.  Система управління лісовими ресурсам</w:t>
      </w:r>
      <w:r w:rsidR="004866D4">
        <w:rPr>
          <w:rFonts w:ascii="Times New Roman" w:hAnsi="Times New Roman"/>
          <w:b/>
          <w:sz w:val="24"/>
          <w:szCs w:val="24"/>
        </w:rPr>
        <w:t>и……………………………………. . . . . . . . 7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>4.  Обгрунтування розміру розрахункової лісос</w:t>
      </w:r>
      <w:r w:rsidR="004866D4">
        <w:rPr>
          <w:rFonts w:ascii="Times New Roman" w:hAnsi="Times New Roman"/>
          <w:b/>
          <w:sz w:val="24"/>
          <w:szCs w:val="24"/>
        </w:rPr>
        <w:t>іки……………………….…… . . . . . . . .9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 xml:space="preserve">5.  Умови для моніторингу приросту і динаміки таксаційних показників лісового фонду………………………….,…………………… ………… . . . . . . . . . </w:t>
      </w:r>
      <w:r w:rsidR="004866D4">
        <w:rPr>
          <w:rFonts w:ascii="Times New Roman" w:hAnsi="Times New Roman"/>
          <w:b/>
          <w:sz w:val="24"/>
          <w:szCs w:val="24"/>
        </w:rPr>
        <w:t>. . . . .. . . . . . . . . . . 11</w:t>
      </w:r>
      <w:r w:rsidRPr="0096237B">
        <w:rPr>
          <w:rFonts w:ascii="Times New Roman" w:hAnsi="Times New Roman"/>
          <w:b/>
          <w:sz w:val="24"/>
          <w:szCs w:val="24"/>
        </w:rPr>
        <w:t xml:space="preserve">  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6237B">
        <w:rPr>
          <w:rFonts w:ascii="Times New Roman" w:hAnsi="Times New Roman"/>
          <w:b/>
          <w:sz w:val="24"/>
          <w:szCs w:val="24"/>
        </w:rPr>
        <w:t xml:space="preserve">  Природоохоронні заходи щодо  охорони довкі</w:t>
      </w:r>
      <w:r w:rsidR="004866D4">
        <w:rPr>
          <w:rFonts w:ascii="Times New Roman" w:hAnsi="Times New Roman"/>
          <w:b/>
          <w:sz w:val="24"/>
          <w:szCs w:val="24"/>
        </w:rPr>
        <w:t>лля………………………… . . . . . . . . .13</w:t>
      </w:r>
      <w:r w:rsidRPr="0096237B">
        <w:rPr>
          <w:rFonts w:ascii="Times New Roman" w:hAnsi="Times New Roman"/>
          <w:b/>
          <w:sz w:val="24"/>
          <w:szCs w:val="24"/>
        </w:rPr>
        <w:t xml:space="preserve">   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 xml:space="preserve">7.  План виявлення і взяття під охорону рідкісних і зникаючих видів рослин і 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96237B">
        <w:rPr>
          <w:rFonts w:ascii="Times New Roman" w:hAnsi="Times New Roman"/>
          <w:b/>
          <w:sz w:val="24"/>
          <w:szCs w:val="24"/>
        </w:rPr>
        <w:t>варин</w:t>
      </w:r>
      <w:r w:rsidRPr="003D6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 також ЛВПЦ </w:t>
      </w:r>
      <w:r w:rsidR="004866D4">
        <w:rPr>
          <w:rFonts w:ascii="Times New Roman" w:hAnsi="Times New Roman"/>
          <w:b/>
          <w:sz w:val="24"/>
          <w:szCs w:val="24"/>
        </w:rPr>
        <w:t>……………………,,………………………………………………..15</w:t>
      </w:r>
    </w:p>
    <w:p w:rsidR="00612E4C" w:rsidRPr="0096237B" w:rsidRDefault="00612E4C" w:rsidP="00DA6D14">
      <w:pPr>
        <w:rPr>
          <w:rFonts w:ascii="Times New Roman" w:hAnsi="Times New Roman"/>
          <w:b/>
          <w:sz w:val="24"/>
          <w:szCs w:val="24"/>
        </w:rPr>
      </w:pPr>
      <w:r w:rsidRPr="0096237B">
        <w:rPr>
          <w:rFonts w:ascii="Times New Roman" w:hAnsi="Times New Roman"/>
          <w:b/>
          <w:sz w:val="24"/>
          <w:szCs w:val="24"/>
        </w:rPr>
        <w:t xml:space="preserve">8. Опис і обґрунтування використання відповідної заготівельної техніки та устаткування…………………….  . . . . . . . . . . . . . . . . . . . . . . . . . . . . . . . . . . . . </w:t>
      </w:r>
      <w:r>
        <w:rPr>
          <w:rFonts w:ascii="Times New Roman" w:hAnsi="Times New Roman"/>
          <w:b/>
          <w:sz w:val="24"/>
          <w:szCs w:val="24"/>
        </w:rPr>
        <w:t xml:space="preserve">. . . . . </w:t>
      </w:r>
      <w:r w:rsidR="004866D4">
        <w:rPr>
          <w:rFonts w:ascii="Times New Roman" w:hAnsi="Times New Roman"/>
          <w:b/>
          <w:sz w:val="24"/>
          <w:szCs w:val="24"/>
        </w:rPr>
        <w:t>. . . . 17</w:t>
      </w:r>
      <w:r w:rsidRPr="0096237B">
        <w:rPr>
          <w:rFonts w:ascii="Times New Roman" w:hAnsi="Times New Roman"/>
          <w:b/>
          <w:sz w:val="24"/>
          <w:szCs w:val="24"/>
        </w:rPr>
        <w:t xml:space="preserve">  </w:t>
      </w:r>
    </w:p>
    <w:p w:rsidR="00612E4C" w:rsidRPr="0096237B" w:rsidRDefault="00612E4C" w:rsidP="00DA6D14">
      <w:pPr>
        <w:rPr>
          <w:rFonts w:ascii="Times New Roman" w:hAnsi="Times New Roman"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DA6D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E4C" w:rsidRDefault="00612E4C" w:rsidP="00C301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A32" w:rsidRDefault="00072A32" w:rsidP="00C3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48B" w:rsidRDefault="00BD348B" w:rsidP="00BD3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612E4C" w:rsidRPr="00072A32" w:rsidRDefault="00BD348B" w:rsidP="00BD3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2E4C" w:rsidRPr="00072A32">
        <w:rPr>
          <w:rFonts w:ascii="Times New Roman" w:hAnsi="Times New Roman"/>
          <w:b/>
          <w:sz w:val="28"/>
          <w:szCs w:val="28"/>
        </w:rPr>
        <w:t>Вступ</w:t>
      </w:r>
    </w:p>
    <w:p w:rsidR="00612E4C" w:rsidRPr="00072A32" w:rsidRDefault="00612E4C" w:rsidP="00BD34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План заходів по веденню лісового господарства або лісоуправління передбачає висвітлення довгострокових цілей ведення лісового господарства, основна із яких – підвищення ефективності виробництва, або диверсифікація, впровадження якої зумовлено такими чинниками, як труднощами становлення нових економічних відносин та недосконалістю законодавчих актів  у державі, необхідністю подолання суперечностей між екологічними, економічними і соціальними цілями, необхідністю забезпечення сталого розвитку лісового господарства шляхом підвищення ефективності управління, багатоцільового використання лісових ресурсів, корисних властивостей лісу та інше.</w:t>
      </w:r>
    </w:p>
    <w:p w:rsidR="00612E4C" w:rsidRPr="00072A32" w:rsidRDefault="00612E4C" w:rsidP="00DA6D1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1. Цілі і задачі ведення лісового господарства і лісокористування.</w:t>
      </w:r>
    </w:p>
    <w:p w:rsidR="00612E4C" w:rsidRPr="00072A32" w:rsidRDefault="00612E4C" w:rsidP="00BB11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Основні цілі і задачі ведення лісового господарства наступні: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використання,  лісових ресурсів у відповідності до їх цільового призначення;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використання лісових ресурсів повинно базуватись на принципах не виснажливості та безперервності і проводитись в обсягах, які не перевищують щорічного приросту деревини;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ефективне використання лісових ресурсів на ринкових засадах;</w:t>
      </w:r>
    </w:p>
    <w:p w:rsidR="00612E4C" w:rsidRPr="00072A32" w:rsidRDefault="00612E4C" w:rsidP="00BB11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удосконалення економічно-фінансового стану підприємства;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забезпечення прибутковості ведення лісового господарства;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нарощування ресурсного і екологічного потенціалу лісу;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розроблення системи заходів щодо розширеного відтворення лісових ресурсів з орієнтацією на багатоцільове використання лісів;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вирішення лісівничо-екологічних проблем в зоні діяльності лісгоспу;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оптимізація структури підприємства, збільшення лісистості території до науково обґрунтованого оптимального рівня;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розробка та проведення комплексу заходів щодо охорони та захисту лісових ресурсів, які би унеможливили або сприяли зменшенню фактів незаконного вирубування деревини;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розширення природно-заповідного фонду для збереження типових та унікальних природних комплексів та об’єктів рослинного і тваринного світу;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здійснення системи заходів щодо сприяння розвитку підприємницької діяльності підприємницьких структур;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впровадження сучасних організаційних форм господарювання, сприяння покрашенню економічних показників діяльності підприємства;</w:t>
      </w:r>
    </w:p>
    <w:p w:rsidR="00612E4C" w:rsidRPr="00072A32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зростання зайнятості, посилення соціальної захищеності  та збільшення добробуту працівників лісгоспу;</w:t>
      </w:r>
    </w:p>
    <w:p w:rsidR="00612E4C" w:rsidRDefault="00612E4C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сприяння вирішенню соціальних, екологічних і економічних проблем місцевих громад;</w:t>
      </w:r>
    </w:p>
    <w:p w:rsidR="00BB11A0" w:rsidRDefault="00BB11A0" w:rsidP="00DA6D1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11A0">
        <w:rPr>
          <w:rFonts w:ascii="Times New Roman" w:hAnsi="Times New Roman"/>
          <w:sz w:val="28"/>
          <w:szCs w:val="28"/>
        </w:rPr>
        <w:t>забезпечення широкого висвітлення лісогосподарських заході</w:t>
      </w:r>
      <w:r>
        <w:rPr>
          <w:rFonts w:ascii="Times New Roman" w:hAnsi="Times New Roman"/>
          <w:sz w:val="28"/>
          <w:szCs w:val="28"/>
        </w:rPr>
        <w:t>в у засобах масової інформації;</w:t>
      </w:r>
    </w:p>
    <w:p w:rsidR="00BB11A0" w:rsidRDefault="00BB11A0" w:rsidP="00BB11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1A0">
        <w:rPr>
          <w:rFonts w:ascii="Times New Roman" w:hAnsi="Times New Roman"/>
          <w:sz w:val="28"/>
          <w:szCs w:val="28"/>
        </w:rPr>
        <w:lastRenderedPageBreak/>
        <w:t>співпраця з науковими, екологічними та громадськими організаціями у формування лісової політики.</w:t>
      </w:r>
    </w:p>
    <w:p w:rsidR="00612E4C" w:rsidRPr="00072A32" w:rsidRDefault="00612E4C" w:rsidP="00C30117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Рівень досягнення  поставлених  цілей  і задач буде оцінюватись   через   кількісні результати.  У  даному   випадку   мова  буде    йти   про  очікувані    економічні, соціальні   та   екологічні   результати.   Зрозуміло,   що   оцінка цих результатів не може претендувати на виняткову точність, але вона необхідна з погляду перспектив розвитку лісового господарства підприємства. </w:t>
      </w:r>
    </w:p>
    <w:p w:rsidR="00612E4C" w:rsidRPr="00072A32" w:rsidRDefault="00612E4C" w:rsidP="00DA6D14">
      <w:pPr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2.  Характеристика лісових  ресурсів.</w:t>
      </w:r>
    </w:p>
    <w:p w:rsidR="00612E4C" w:rsidRDefault="00612E4C" w:rsidP="004E07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       Для ек</w:t>
      </w:r>
      <w:r w:rsidR="00BB11A0">
        <w:rPr>
          <w:rFonts w:ascii="Times New Roman" w:hAnsi="Times New Roman"/>
          <w:sz w:val="28"/>
          <w:szCs w:val="28"/>
        </w:rPr>
        <w:t xml:space="preserve">ономічного потенціалу Київської </w:t>
      </w:r>
      <w:r w:rsidRPr="00072A32">
        <w:rPr>
          <w:rFonts w:ascii="Times New Roman" w:hAnsi="Times New Roman"/>
          <w:sz w:val="28"/>
          <w:szCs w:val="28"/>
        </w:rPr>
        <w:t xml:space="preserve"> області ліси мають надзвичайно важливе значення. Ліси використовують як ресурсний матеріал для розвитку різних галузей економіки, створюють придатні умови для життя людини. Лісові ресурси — це і деревина, і технічна сировина, і харчові та кормові ресурси. Важливого значення набувають ліси як засіб охорони навколишнього середовища. Завдяки захисним властивостям ліси сприяють поліпшенню водного режиму територій, підвищенню врожайності сільськогосподарських культур.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Лісове господарство в економіці району розташування займає важливе місце. Основні напрямки його розвитку – це охорона навколишнього середовища, підвищення захисних санітарно-гігієнічних рекреаційних функцій, а також забезпечення потреб в деревині і відновленні лісових ресурсів.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Наявні в лісовому фонді сільськогосподарські угіддя використовуються для потреб мисливського господарства і працівників лісгоспу.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Випас худоби в лісовому фонді проводиться на незначних площах місцевим населенням.</w:t>
      </w:r>
    </w:p>
    <w:p w:rsidR="004E073F" w:rsidRPr="004E073F" w:rsidRDefault="001624F4" w:rsidP="004E07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тим, що уся </w:t>
      </w:r>
      <w:r w:rsidR="004E073F" w:rsidRPr="004E073F">
        <w:rPr>
          <w:rFonts w:ascii="Times New Roman" w:hAnsi="Times New Roman"/>
          <w:sz w:val="28"/>
          <w:szCs w:val="28"/>
        </w:rPr>
        <w:t>площі лісгоспу входить в зону</w:t>
      </w:r>
      <w:r>
        <w:rPr>
          <w:rFonts w:ascii="Times New Roman" w:hAnsi="Times New Roman"/>
          <w:sz w:val="28"/>
          <w:szCs w:val="28"/>
        </w:rPr>
        <w:t xml:space="preserve"> радіоактивного забруднення, а 14,5</w:t>
      </w:r>
      <w:r w:rsidR="004E073F" w:rsidRPr="004E073F">
        <w:rPr>
          <w:rFonts w:ascii="Times New Roman" w:hAnsi="Times New Roman"/>
          <w:sz w:val="28"/>
          <w:szCs w:val="28"/>
        </w:rPr>
        <w:t>% площі знаходиться в об’єктах природно-заповідного фонду, побічним користуванням лісгосп не займається.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Мисливська фауна в лісах лісгоспу представлена такими основними видами: лось, олень, козуля, кабан, заєць-русак, лисиця, куниця, білка.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Полювання носить спортивний характер.</w:t>
      </w:r>
    </w:p>
    <w:p w:rsidR="004E073F" w:rsidRPr="004E073F" w:rsidRDefault="004E073F" w:rsidP="004E073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E073F">
        <w:rPr>
          <w:rFonts w:ascii="Times New Roman" w:hAnsi="Times New Roman"/>
          <w:sz w:val="28"/>
          <w:szCs w:val="28"/>
        </w:rPr>
        <w:t>Крім задоволення потреб народного господарства в деревині і продукції побічних лісових користувань, лісові насадження мають важливе природоохоронне і рекреаційне значення.</w:t>
      </w:r>
    </w:p>
    <w:p w:rsidR="004E073F" w:rsidRPr="007645B1" w:rsidRDefault="004E073F" w:rsidP="007645B1">
      <w:pPr>
        <w:pStyle w:val="HTML"/>
        <w:shd w:val="clear" w:color="auto" w:fill="FFFFFF"/>
        <w:tabs>
          <w:tab w:val="clear" w:pos="916"/>
          <w:tab w:val="clear" w:pos="1832"/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24E">
        <w:rPr>
          <w:rFonts w:ascii="Times New Roman" w:hAnsi="Times New Roman" w:cs="Times New Roman"/>
          <w:sz w:val="28"/>
          <w:szCs w:val="28"/>
        </w:rPr>
        <w:t>Площа ДЛФ (державного лісов</w:t>
      </w:r>
      <w:r>
        <w:rPr>
          <w:rFonts w:ascii="Times New Roman" w:hAnsi="Times New Roman" w:cs="Times New Roman"/>
          <w:sz w:val="28"/>
          <w:szCs w:val="28"/>
        </w:rPr>
        <w:t>ого фонду) ДП «Вищедубечанський лісгосп» складає 30529</w:t>
      </w:r>
      <w:r w:rsidRPr="00135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3524E">
        <w:rPr>
          <w:rFonts w:ascii="Times New Roman" w:hAnsi="Times New Roman" w:cs="Times New Roman"/>
          <w:sz w:val="28"/>
          <w:szCs w:val="28"/>
        </w:rPr>
        <w:t xml:space="preserve"> площа, яка вкрита ліс</w:t>
      </w:r>
      <w:r>
        <w:rPr>
          <w:rFonts w:ascii="Times New Roman" w:hAnsi="Times New Roman" w:cs="Times New Roman"/>
          <w:sz w:val="28"/>
          <w:szCs w:val="28"/>
        </w:rPr>
        <w:t>овою рослинністю становить 26809.9 га</w:t>
      </w:r>
      <w:r w:rsidRPr="0013524E">
        <w:rPr>
          <w:rFonts w:ascii="Times New Roman" w:hAnsi="Times New Roman" w:cs="Times New Roman"/>
          <w:sz w:val="28"/>
          <w:szCs w:val="28"/>
        </w:rPr>
        <w:t xml:space="preserve"> території підприємства. В лісовому фонді переваж</w:t>
      </w:r>
      <w:r>
        <w:rPr>
          <w:rFonts w:ascii="Times New Roman" w:hAnsi="Times New Roman" w:cs="Times New Roman"/>
          <w:sz w:val="28"/>
          <w:szCs w:val="28"/>
        </w:rPr>
        <w:t>аючими є соснові насадження – 67,4</w:t>
      </w:r>
      <w:r w:rsidRPr="0013524E">
        <w:rPr>
          <w:rFonts w:ascii="Times New Roman" w:hAnsi="Times New Roman" w:cs="Times New Roman"/>
          <w:sz w:val="28"/>
          <w:szCs w:val="28"/>
        </w:rPr>
        <w:t>% від площі, яка вкрита лісовою рослинністю</w:t>
      </w:r>
      <w:r>
        <w:rPr>
          <w:rFonts w:ascii="Times New Roman" w:hAnsi="Times New Roman" w:cs="Times New Roman"/>
          <w:sz w:val="28"/>
          <w:szCs w:val="28"/>
        </w:rPr>
        <w:t xml:space="preserve">. дубові насадження складають 4,8%, березові – 10,1%, насадження вільхи чорної – </w:t>
      </w:r>
      <w:r>
        <w:rPr>
          <w:rFonts w:ascii="Times New Roman" w:hAnsi="Times New Roman" w:cs="Times New Roman"/>
          <w:sz w:val="28"/>
          <w:szCs w:val="28"/>
        </w:rPr>
        <w:lastRenderedPageBreak/>
        <w:t>11,2</w:t>
      </w:r>
      <w:r w:rsidRPr="0013524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ясена звичайного 1,0%, інші породи – 5,5</w:t>
      </w:r>
      <w:r w:rsidRPr="0013524E">
        <w:rPr>
          <w:rFonts w:ascii="Times New Roman" w:hAnsi="Times New Roman" w:cs="Times New Roman"/>
          <w:sz w:val="28"/>
          <w:szCs w:val="28"/>
        </w:rPr>
        <w:t>%. Середній ві</w:t>
      </w:r>
      <w:r w:rsidR="007645B1">
        <w:rPr>
          <w:rFonts w:ascii="Times New Roman" w:hAnsi="Times New Roman" w:cs="Times New Roman"/>
          <w:sz w:val="28"/>
          <w:szCs w:val="28"/>
        </w:rPr>
        <w:t>к лісових насаджень становить 62</w:t>
      </w:r>
      <w:r w:rsidRPr="0013524E">
        <w:rPr>
          <w:rFonts w:ascii="Times New Roman" w:hAnsi="Times New Roman" w:cs="Times New Roman"/>
          <w:sz w:val="28"/>
          <w:szCs w:val="28"/>
        </w:rPr>
        <w:t xml:space="preserve"> рік, середн</w:t>
      </w:r>
      <w:r>
        <w:rPr>
          <w:rFonts w:ascii="Times New Roman" w:hAnsi="Times New Roman" w:cs="Times New Roman"/>
          <w:sz w:val="28"/>
          <w:szCs w:val="28"/>
        </w:rPr>
        <w:t>ій річний приріст деревини – 4,0</w:t>
      </w:r>
      <w:r w:rsidRPr="0013524E">
        <w:rPr>
          <w:rFonts w:ascii="Times New Roman" w:hAnsi="Times New Roman" w:cs="Times New Roman"/>
          <w:sz w:val="28"/>
          <w:szCs w:val="28"/>
        </w:rPr>
        <w:t xml:space="preserve"> м</w:t>
      </w:r>
      <w:r w:rsidRPr="00135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/га.</w:t>
      </w:r>
    </w:p>
    <w:p w:rsidR="00612E4C" w:rsidRDefault="00612E4C" w:rsidP="007645B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 основу організації процесу лісокористування закладений поділ лісів на категорії, в залежності від їх екологічного та народногосподарського значення, розташування та виконання ними функцій. Лісовим кодексом України визначено поділ лісів на категорії лісів.</w:t>
      </w:r>
    </w:p>
    <w:p w:rsidR="007645B1" w:rsidRPr="00072A32" w:rsidRDefault="007645B1" w:rsidP="007645B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45B1">
        <w:rPr>
          <w:rFonts w:ascii="Times New Roman" w:hAnsi="Times New Roman"/>
          <w:sz w:val="28"/>
          <w:szCs w:val="28"/>
        </w:rPr>
        <w:t>Існуючий поді</w:t>
      </w:r>
      <w:r>
        <w:rPr>
          <w:rFonts w:ascii="Times New Roman" w:hAnsi="Times New Roman"/>
          <w:sz w:val="28"/>
          <w:szCs w:val="28"/>
        </w:rPr>
        <w:t>л лісів на категорії (табл.</w:t>
      </w:r>
      <w:r w:rsidRPr="007645B1">
        <w:rPr>
          <w:rFonts w:ascii="Times New Roman" w:hAnsi="Times New Roman"/>
          <w:sz w:val="28"/>
          <w:szCs w:val="28"/>
        </w:rPr>
        <w:t>1) проведено згідно Порядку поділу лісів на категорії та виділення особливо захисних лісових ділянок (постанова КМ України від 16.05.2007р. №733), постанови КМ України від 18 квітня 2012 року №31 “Перелік автомобільних доріг загального користування державного значення” та затверджений наказом Державного агентства лісових ресурсів України №188 від 16.06.2010 року за погодженням з Міністерством екології і природних ресурсів. Згідно наказу Київського та по м. Київу ОУЛМГ №117 від 18.09.2009 року затверджено особливо захисні ділянки.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Згідно матеріалів</w:t>
      </w:r>
      <w:r w:rsidR="007645B1">
        <w:rPr>
          <w:rFonts w:ascii="Times New Roman" w:hAnsi="Times New Roman"/>
          <w:sz w:val="28"/>
          <w:szCs w:val="28"/>
        </w:rPr>
        <w:t xml:space="preserve"> базового лісовпорядкування 2015</w:t>
      </w:r>
      <w:r w:rsidRPr="00072A32">
        <w:rPr>
          <w:rFonts w:ascii="Times New Roman" w:hAnsi="Times New Roman"/>
          <w:sz w:val="28"/>
          <w:szCs w:val="28"/>
        </w:rPr>
        <w:t xml:space="preserve"> року,  площа лісових земельних ділянок , в межах категорій лісів розподіляються наступним чином:</w:t>
      </w:r>
    </w:p>
    <w:p w:rsidR="00612E4C" w:rsidRPr="00072A32" w:rsidRDefault="00612E4C" w:rsidP="00DA6D14">
      <w:pPr>
        <w:jc w:val="right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Таблиця 1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C102B1" w:rsidRPr="00C102B1" w:rsidTr="006F5FF2">
        <w:trPr>
          <w:trHeight w:val="73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Площа за даними</w:t>
            </w:r>
          </w:p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лісовпорядкування</w:t>
            </w:r>
          </w:p>
        </w:tc>
      </w:tr>
      <w:tr w:rsidR="00C102B1" w:rsidRPr="00C102B1" w:rsidTr="006F5FF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 xml:space="preserve">Ліси природоохоронного, наукового, історико-культурного призначення – разом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4420,2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 xml:space="preserve">в тому числі: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Заказники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4420,2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Рекреаційно-оздоровчі ліси - разом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25373,2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83,1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 xml:space="preserve">в тому числі: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Ліси у межах населених пунктів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204,2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Лісопаркова частина лісів зелених 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15234,7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Лісогосподарська частина лісів зелених зон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9934,3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B1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Експлуатаційні ліси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735,6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</w:tr>
      <w:tr w:rsidR="00C102B1" w:rsidRPr="00C102B1" w:rsidTr="006F5FF2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Всього по лісгоспу: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30529,0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B1" w:rsidRPr="00C102B1" w:rsidRDefault="00C102B1" w:rsidP="006F5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2B1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612E4C" w:rsidRPr="00072A32" w:rsidRDefault="00612E4C" w:rsidP="00DA6D14">
      <w:pPr>
        <w:ind w:left="75"/>
        <w:rPr>
          <w:rFonts w:ascii="Times New Roman" w:hAnsi="Times New Roman"/>
          <w:sz w:val="28"/>
          <w:szCs w:val="28"/>
        </w:rPr>
      </w:pPr>
    </w:p>
    <w:p w:rsidR="00C102B1" w:rsidRPr="00C102B1" w:rsidRDefault="00C102B1" w:rsidP="00C10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C102B1">
        <w:rPr>
          <w:rFonts w:ascii="Times New Roman" w:hAnsi="Times New Roman"/>
          <w:sz w:val="28"/>
          <w:szCs w:val="28"/>
        </w:rPr>
        <w:t>Існуючий поділ площі на категорії лісів відповідає господарському призначенню, природним та економічним умовам району розташування лісгоспу</w:t>
      </w:r>
      <w:r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41015A">
      <w:pPr>
        <w:ind w:left="75"/>
        <w:jc w:val="right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Таблиця 2</w:t>
      </w:r>
    </w:p>
    <w:p w:rsidR="00612E4C" w:rsidRPr="00072A32" w:rsidRDefault="00612E4C" w:rsidP="00DA6D14">
      <w:pPr>
        <w:ind w:left="75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Розподіл загальних запасів деревостанів за панівними породами та групами віку.                                                            </w:t>
      </w:r>
    </w:p>
    <w:tbl>
      <w:tblPr>
        <w:tblW w:w="0" w:type="auto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6"/>
        <w:gridCol w:w="1290"/>
        <w:gridCol w:w="1393"/>
        <w:gridCol w:w="2020"/>
        <w:gridCol w:w="1748"/>
        <w:gridCol w:w="1438"/>
      </w:tblGrid>
      <w:tr w:rsidR="00612E4C" w:rsidRPr="00072A32" w:rsidTr="008E488D">
        <w:tc>
          <w:tcPr>
            <w:tcW w:w="2396" w:type="dxa"/>
            <w:vMerge w:val="restart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1290" w:type="dxa"/>
            <w:vMerge w:val="restart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6599" w:type="dxa"/>
            <w:gridSpan w:val="4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Розподіл загальних запасів деревостанів по групах віку, тис.м3</w:t>
            </w:r>
          </w:p>
        </w:tc>
      </w:tr>
      <w:tr w:rsidR="008E488D" w:rsidRPr="00072A32" w:rsidTr="008E488D">
        <w:trPr>
          <w:trHeight w:val="475"/>
        </w:trPr>
        <w:tc>
          <w:tcPr>
            <w:tcW w:w="2396" w:type="dxa"/>
            <w:vMerge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Молодняки</w:t>
            </w:r>
          </w:p>
        </w:tc>
        <w:tc>
          <w:tcPr>
            <w:tcW w:w="2020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Середньовікові</w:t>
            </w:r>
          </w:p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Пристигаючі</w:t>
            </w:r>
          </w:p>
        </w:tc>
        <w:tc>
          <w:tcPr>
            <w:tcW w:w="1438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Стиглі і</w:t>
            </w:r>
          </w:p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перестійні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90" w:type="dxa"/>
            <w:vAlign w:val="center"/>
          </w:tcPr>
          <w:p w:rsidR="00612E4C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sz w:val="28"/>
                <w:szCs w:val="28"/>
              </w:rPr>
              <w:t>6762,56</w:t>
            </w:r>
          </w:p>
        </w:tc>
        <w:tc>
          <w:tcPr>
            <w:tcW w:w="1393" w:type="dxa"/>
            <w:vAlign w:val="center"/>
          </w:tcPr>
          <w:p w:rsidR="00612E4C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330,63</w:t>
            </w:r>
          </w:p>
        </w:tc>
        <w:tc>
          <w:tcPr>
            <w:tcW w:w="2020" w:type="dxa"/>
            <w:vAlign w:val="center"/>
          </w:tcPr>
          <w:p w:rsidR="00612E4C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4194,54</w:t>
            </w:r>
          </w:p>
        </w:tc>
        <w:tc>
          <w:tcPr>
            <w:tcW w:w="1748" w:type="dxa"/>
            <w:vAlign w:val="center"/>
          </w:tcPr>
          <w:p w:rsidR="00612E4C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1367,82</w:t>
            </w:r>
          </w:p>
        </w:tc>
        <w:tc>
          <w:tcPr>
            <w:tcW w:w="1438" w:type="dxa"/>
            <w:vAlign w:val="center"/>
          </w:tcPr>
          <w:p w:rsidR="00612E4C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869,57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612E4C" w:rsidRPr="008E488D" w:rsidRDefault="00612E4C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 т.ч. Сосна</w:t>
            </w:r>
          </w:p>
        </w:tc>
        <w:tc>
          <w:tcPr>
            <w:tcW w:w="1290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5199,01</w:t>
            </w:r>
          </w:p>
        </w:tc>
        <w:tc>
          <w:tcPr>
            <w:tcW w:w="1393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266,39</w:t>
            </w:r>
          </w:p>
        </w:tc>
        <w:tc>
          <w:tcPr>
            <w:tcW w:w="2020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3480,66</w:t>
            </w:r>
          </w:p>
        </w:tc>
        <w:tc>
          <w:tcPr>
            <w:tcW w:w="1748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1074,85</w:t>
            </w:r>
          </w:p>
        </w:tc>
        <w:tc>
          <w:tcPr>
            <w:tcW w:w="1438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377,11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Ялина</w:t>
            </w:r>
          </w:p>
        </w:tc>
        <w:tc>
          <w:tcPr>
            <w:tcW w:w="1290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393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020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748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438" w:type="dxa"/>
            <w:vAlign w:val="center"/>
          </w:tcPr>
          <w:p w:rsidR="00612E4C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Дуб високостовбурний</w:t>
            </w:r>
          </w:p>
        </w:tc>
        <w:tc>
          <w:tcPr>
            <w:tcW w:w="129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265,92</w:t>
            </w:r>
          </w:p>
        </w:tc>
        <w:tc>
          <w:tcPr>
            <w:tcW w:w="1393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25,12</w:t>
            </w:r>
          </w:p>
        </w:tc>
        <w:tc>
          <w:tcPr>
            <w:tcW w:w="202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219,43</w:t>
            </w:r>
          </w:p>
        </w:tc>
        <w:tc>
          <w:tcPr>
            <w:tcW w:w="174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11,46</w:t>
            </w:r>
          </w:p>
        </w:tc>
        <w:tc>
          <w:tcPr>
            <w:tcW w:w="143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9,91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Дуб низькостовбурний</w:t>
            </w:r>
          </w:p>
        </w:tc>
        <w:tc>
          <w:tcPr>
            <w:tcW w:w="129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  <w:tc>
          <w:tcPr>
            <w:tcW w:w="1393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74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  <w:tc>
          <w:tcPr>
            <w:tcW w:w="143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0,57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Граб</w:t>
            </w:r>
          </w:p>
        </w:tc>
        <w:tc>
          <w:tcPr>
            <w:tcW w:w="129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393" w:type="dxa"/>
            <w:vAlign w:val="center"/>
          </w:tcPr>
          <w:p w:rsidR="00C102B1" w:rsidRPr="008E488D" w:rsidRDefault="00C102B1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  <w:tc>
          <w:tcPr>
            <w:tcW w:w="174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5,02</w:t>
            </w:r>
          </w:p>
        </w:tc>
        <w:tc>
          <w:tcPr>
            <w:tcW w:w="143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3,33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Ясен</w:t>
            </w:r>
          </w:p>
        </w:tc>
        <w:tc>
          <w:tcPr>
            <w:tcW w:w="129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65,07</w:t>
            </w:r>
          </w:p>
        </w:tc>
        <w:tc>
          <w:tcPr>
            <w:tcW w:w="1393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10,52</w:t>
            </w:r>
          </w:p>
        </w:tc>
        <w:tc>
          <w:tcPr>
            <w:tcW w:w="2020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28,78</w:t>
            </w:r>
          </w:p>
        </w:tc>
        <w:tc>
          <w:tcPr>
            <w:tcW w:w="174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22,71</w:t>
            </w:r>
          </w:p>
        </w:tc>
        <w:tc>
          <w:tcPr>
            <w:tcW w:w="1438" w:type="dxa"/>
            <w:vAlign w:val="center"/>
          </w:tcPr>
          <w:p w:rsidR="00C102B1" w:rsidRPr="008E488D" w:rsidRDefault="002229CF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3,06</w:t>
            </w:r>
          </w:p>
        </w:tc>
      </w:tr>
      <w:tr w:rsidR="009A11D2" w:rsidRPr="00072A32" w:rsidTr="008E488D">
        <w:tc>
          <w:tcPr>
            <w:tcW w:w="2396" w:type="dxa"/>
            <w:vAlign w:val="center"/>
          </w:tcPr>
          <w:p w:rsidR="009A11D2" w:rsidRPr="008E488D" w:rsidRDefault="009A11D2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Клен</w:t>
            </w:r>
          </w:p>
        </w:tc>
        <w:tc>
          <w:tcPr>
            <w:tcW w:w="129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393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202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74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9A11D2" w:rsidRPr="00072A32" w:rsidTr="008E488D">
        <w:tc>
          <w:tcPr>
            <w:tcW w:w="2396" w:type="dxa"/>
            <w:vAlign w:val="center"/>
          </w:tcPr>
          <w:p w:rsidR="009A11D2" w:rsidRPr="008E488D" w:rsidRDefault="009A11D2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Вяз</w:t>
            </w:r>
          </w:p>
        </w:tc>
        <w:tc>
          <w:tcPr>
            <w:tcW w:w="129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0,16</w:t>
            </w:r>
          </w:p>
        </w:tc>
        <w:tc>
          <w:tcPr>
            <w:tcW w:w="1393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0,16</w:t>
            </w:r>
          </w:p>
        </w:tc>
      </w:tr>
      <w:tr w:rsidR="009A11D2" w:rsidRPr="00072A32" w:rsidTr="008E488D">
        <w:tc>
          <w:tcPr>
            <w:tcW w:w="2396" w:type="dxa"/>
            <w:vAlign w:val="center"/>
          </w:tcPr>
          <w:p w:rsidR="009A11D2" w:rsidRPr="008E488D" w:rsidRDefault="009A11D2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Акація</w:t>
            </w:r>
          </w:p>
        </w:tc>
        <w:tc>
          <w:tcPr>
            <w:tcW w:w="129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2,47</w:t>
            </w:r>
          </w:p>
        </w:tc>
        <w:tc>
          <w:tcPr>
            <w:tcW w:w="1393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74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143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1,86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129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430,92</w:t>
            </w:r>
          </w:p>
        </w:tc>
        <w:tc>
          <w:tcPr>
            <w:tcW w:w="1393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12,34</w:t>
            </w:r>
          </w:p>
        </w:tc>
        <w:tc>
          <w:tcPr>
            <w:tcW w:w="202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241,57</w:t>
            </w:r>
          </w:p>
        </w:tc>
        <w:tc>
          <w:tcPr>
            <w:tcW w:w="174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127,66</w:t>
            </w:r>
          </w:p>
        </w:tc>
        <w:tc>
          <w:tcPr>
            <w:tcW w:w="143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49,35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Осика</w:t>
            </w:r>
          </w:p>
        </w:tc>
        <w:tc>
          <w:tcPr>
            <w:tcW w:w="129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6,93</w:t>
            </w:r>
          </w:p>
        </w:tc>
        <w:tc>
          <w:tcPr>
            <w:tcW w:w="1393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1,87</w:t>
            </w:r>
          </w:p>
        </w:tc>
        <w:tc>
          <w:tcPr>
            <w:tcW w:w="202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74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2,34</w:t>
            </w:r>
          </w:p>
        </w:tc>
        <w:tc>
          <w:tcPr>
            <w:tcW w:w="143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2,31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Вільха</w:t>
            </w:r>
          </w:p>
        </w:tc>
        <w:tc>
          <w:tcPr>
            <w:tcW w:w="129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600,23</w:t>
            </w:r>
          </w:p>
        </w:tc>
        <w:tc>
          <w:tcPr>
            <w:tcW w:w="1393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14,19</w:t>
            </w:r>
          </w:p>
        </w:tc>
        <w:tc>
          <w:tcPr>
            <w:tcW w:w="202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192,91</w:t>
            </w:r>
          </w:p>
        </w:tc>
        <w:tc>
          <w:tcPr>
            <w:tcW w:w="174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100,09</w:t>
            </w:r>
          </w:p>
        </w:tc>
        <w:tc>
          <w:tcPr>
            <w:tcW w:w="143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293,04</w:t>
            </w:r>
          </w:p>
        </w:tc>
      </w:tr>
      <w:tr w:rsidR="009A11D2" w:rsidRPr="00072A32" w:rsidTr="008E488D">
        <w:tc>
          <w:tcPr>
            <w:tcW w:w="2396" w:type="dxa"/>
            <w:vAlign w:val="center"/>
          </w:tcPr>
          <w:p w:rsidR="009A11D2" w:rsidRPr="008E488D" w:rsidRDefault="009A11D2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Липа</w:t>
            </w:r>
          </w:p>
        </w:tc>
        <w:tc>
          <w:tcPr>
            <w:tcW w:w="1290" w:type="dxa"/>
            <w:vAlign w:val="center"/>
          </w:tcPr>
          <w:p w:rsidR="009A11D2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</w:t>
            </w:r>
            <w:r w:rsidR="009A11D2" w:rsidRPr="008E488D">
              <w:rPr>
                <w:rFonts w:ascii="Times New Roman" w:hAnsi="Times New Roman"/>
                <w:sz w:val="28"/>
                <w:szCs w:val="28"/>
              </w:rPr>
              <w:t>,</w:t>
            </w:r>
            <w:r w:rsidRPr="008E488D">
              <w:rPr>
                <w:rFonts w:ascii="Times New Roman" w:hAnsi="Times New Roman"/>
                <w:sz w:val="28"/>
                <w:szCs w:val="28"/>
              </w:rPr>
              <w:t>0</w:t>
            </w:r>
            <w:r w:rsidR="009A11D2" w:rsidRPr="008E4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vAlign w:val="center"/>
          </w:tcPr>
          <w:p w:rsidR="009A11D2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74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A11D2" w:rsidRPr="00072A32" w:rsidTr="008E488D">
        <w:tc>
          <w:tcPr>
            <w:tcW w:w="2396" w:type="dxa"/>
            <w:vAlign w:val="center"/>
          </w:tcPr>
          <w:p w:rsidR="009A11D2" w:rsidRPr="008E488D" w:rsidRDefault="009A11D2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Тополя</w:t>
            </w:r>
          </w:p>
        </w:tc>
        <w:tc>
          <w:tcPr>
            <w:tcW w:w="129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25,31</w:t>
            </w:r>
          </w:p>
        </w:tc>
        <w:tc>
          <w:tcPr>
            <w:tcW w:w="1393" w:type="dxa"/>
            <w:vAlign w:val="center"/>
          </w:tcPr>
          <w:p w:rsidR="009A11D2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  <w:tc>
          <w:tcPr>
            <w:tcW w:w="174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6,45</w:t>
            </w:r>
          </w:p>
        </w:tc>
        <w:tc>
          <w:tcPr>
            <w:tcW w:w="1438" w:type="dxa"/>
            <w:vAlign w:val="center"/>
          </w:tcPr>
          <w:p w:rsidR="009A11D2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18,39</w:t>
            </w:r>
          </w:p>
        </w:tc>
      </w:tr>
      <w:tr w:rsidR="008E488D" w:rsidRPr="00072A32" w:rsidTr="008E488D">
        <w:tc>
          <w:tcPr>
            <w:tcW w:w="2396" w:type="dxa"/>
            <w:vAlign w:val="center"/>
          </w:tcPr>
          <w:p w:rsidR="00C102B1" w:rsidRPr="008E488D" w:rsidRDefault="00C102B1" w:rsidP="008E48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Верби деревовидні</w:t>
            </w:r>
          </w:p>
        </w:tc>
        <w:tc>
          <w:tcPr>
            <w:tcW w:w="129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147,41</w:t>
            </w:r>
          </w:p>
        </w:tc>
        <w:tc>
          <w:tcPr>
            <w:tcW w:w="1393" w:type="dxa"/>
            <w:vAlign w:val="center"/>
          </w:tcPr>
          <w:p w:rsidR="00C102B1" w:rsidRPr="008E488D" w:rsidRDefault="008E488D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174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88D">
              <w:rPr>
                <w:rFonts w:ascii="Times New Roman" w:hAnsi="Times New Roman"/>
                <w:sz w:val="28"/>
                <w:szCs w:val="28"/>
              </w:rPr>
              <w:t>14,83</w:t>
            </w:r>
          </w:p>
        </w:tc>
        <w:tc>
          <w:tcPr>
            <w:tcW w:w="1438" w:type="dxa"/>
            <w:vAlign w:val="center"/>
          </w:tcPr>
          <w:p w:rsidR="00C102B1" w:rsidRPr="008E488D" w:rsidRDefault="009A11D2" w:rsidP="008E48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E488D">
              <w:rPr>
                <w:rFonts w:ascii="Times New Roman" w:hAnsi="Times New Roman"/>
                <w:iCs/>
                <w:sz w:val="28"/>
                <w:szCs w:val="28"/>
              </w:rPr>
              <w:t>110,48</w:t>
            </w:r>
          </w:p>
        </w:tc>
      </w:tr>
    </w:tbl>
    <w:p w:rsidR="00BB62A9" w:rsidRDefault="00BB62A9" w:rsidP="008E488D">
      <w:pPr>
        <w:jc w:val="both"/>
        <w:rPr>
          <w:rFonts w:ascii="Times New Roman" w:hAnsi="Times New Roman"/>
          <w:sz w:val="28"/>
          <w:szCs w:val="28"/>
        </w:rPr>
      </w:pPr>
    </w:p>
    <w:p w:rsidR="00612E4C" w:rsidRPr="00072A32" w:rsidRDefault="008E488D" w:rsidP="008E48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Переважають по запасу соснові насадження (77%), із яких молодняки – 3,9%, середньовікові – 51,4%, пристигаючі – 15,8%, стиглі та перестійні 5,6</w:t>
      </w:r>
      <w:r w:rsidR="00612E4C" w:rsidRPr="00072A32">
        <w:rPr>
          <w:rFonts w:ascii="Times New Roman" w:hAnsi="Times New Roman"/>
          <w:sz w:val="28"/>
          <w:szCs w:val="28"/>
        </w:rPr>
        <w:t>%.</w:t>
      </w:r>
    </w:p>
    <w:p w:rsidR="00612E4C" w:rsidRPr="00072A32" w:rsidRDefault="00612E4C" w:rsidP="00E30F57">
      <w:pPr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   </w:t>
      </w:r>
    </w:p>
    <w:p w:rsidR="00BB62A9" w:rsidRDefault="00612E4C" w:rsidP="00E30F57">
      <w:pPr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</w:t>
      </w:r>
    </w:p>
    <w:p w:rsidR="00BB62A9" w:rsidRDefault="00BB62A9" w:rsidP="00E30F57">
      <w:pPr>
        <w:rPr>
          <w:rFonts w:ascii="Times New Roman" w:hAnsi="Times New Roman"/>
          <w:sz w:val="28"/>
          <w:szCs w:val="28"/>
        </w:rPr>
      </w:pPr>
    </w:p>
    <w:p w:rsidR="00612E4C" w:rsidRPr="00072A32" w:rsidRDefault="00612E4C" w:rsidP="00E30F57">
      <w:pPr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3. Система управління лісовими ресурсами.</w:t>
      </w:r>
    </w:p>
    <w:p w:rsidR="00BB62A9" w:rsidRDefault="00612E4C" w:rsidP="00BB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Система управління лісами базується на засадах екологічної безпеки і з урахуванням вимог, які висуваються міжнародними природоохоронними конвенціями.</w:t>
      </w:r>
    </w:p>
    <w:p w:rsidR="00612E4C" w:rsidRPr="00072A32" w:rsidRDefault="00BB62A9" w:rsidP="00BB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E4C" w:rsidRPr="00072A32">
        <w:rPr>
          <w:rFonts w:ascii="Times New Roman" w:hAnsi="Times New Roman"/>
          <w:sz w:val="28"/>
          <w:szCs w:val="28"/>
        </w:rPr>
        <w:t xml:space="preserve">Базовим законом України про ліси і систему управління в них є </w:t>
      </w:r>
      <w:r>
        <w:rPr>
          <w:rFonts w:ascii="Times New Roman" w:hAnsi="Times New Roman"/>
          <w:sz w:val="28"/>
          <w:szCs w:val="28"/>
        </w:rPr>
        <w:t>«</w:t>
      </w:r>
      <w:r w:rsidR="00612E4C" w:rsidRPr="00072A32">
        <w:rPr>
          <w:rFonts w:ascii="Times New Roman" w:hAnsi="Times New Roman"/>
          <w:sz w:val="28"/>
          <w:szCs w:val="28"/>
        </w:rPr>
        <w:t>Лісовий кодекс України</w:t>
      </w:r>
      <w:r>
        <w:rPr>
          <w:rFonts w:ascii="Times New Roman" w:hAnsi="Times New Roman"/>
          <w:sz w:val="28"/>
          <w:szCs w:val="28"/>
        </w:rPr>
        <w:t>»</w:t>
      </w:r>
      <w:r w:rsidR="00612E4C" w:rsidRPr="00072A32">
        <w:rPr>
          <w:rFonts w:ascii="Times New Roman" w:hAnsi="Times New Roman"/>
          <w:sz w:val="28"/>
          <w:szCs w:val="28"/>
        </w:rPr>
        <w:t xml:space="preserve">. Правові аспекти лісогосподарського виробництва та використання і відтворення лісових ресурсів визначено </w:t>
      </w:r>
      <w:r>
        <w:rPr>
          <w:rFonts w:ascii="Times New Roman" w:hAnsi="Times New Roman"/>
          <w:sz w:val="28"/>
          <w:szCs w:val="28"/>
        </w:rPr>
        <w:t>«</w:t>
      </w:r>
      <w:r w:rsidR="00612E4C" w:rsidRPr="00072A32">
        <w:rPr>
          <w:rFonts w:ascii="Times New Roman" w:hAnsi="Times New Roman"/>
          <w:sz w:val="28"/>
          <w:szCs w:val="28"/>
        </w:rPr>
        <w:t>Земельним кодексом України</w:t>
      </w:r>
      <w:r>
        <w:rPr>
          <w:rFonts w:ascii="Times New Roman" w:hAnsi="Times New Roman"/>
          <w:sz w:val="28"/>
          <w:szCs w:val="28"/>
        </w:rPr>
        <w:t>»</w:t>
      </w:r>
      <w:r w:rsidR="00612E4C" w:rsidRPr="00072A32">
        <w:rPr>
          <w:rFonts w:ascii="Times New Roman" w:hAnsi="Times New Roman"/>
          <w:sz w:val="28"/>
          <w:szCs w:val="28"/>
        </w:rPr>
        <w:t xml:space="preserve"> і  регулюються Законом України «Про охорону навколишнього природного середовища».</w:t>
      </w:r>
    </w:p>
    <w:p w:rsidR="00612E4C" w:rsidRPr="00072A32" w:rsidRDefault="00612E4C" w:rsidP="00BB62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Центральним органом виконавчої влади з питань лісового господарства є Державне   агентство   лісових   ресурсів   України (Держлісагенство України), діяльність якого спрямовується і координується Кабінетом Міністрів України  через Міністра аграрної політики та продовольства України,  входить  до   системи   центральних   органів  виконавчої  влади  і  забезпечує  реалізацію  державної політики у сфері лісового та мисливського господарства.</w:t>
      </w:r>
    </w:p>
    <w:p w:rsidR="00612E4C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Д</w:t>
      </w:r>
      <w:r w:rsidR="00BB62A9">
        <w:rPr>
          <w:rFonts w:ascii="Times New Roman" w:hAnsi="Times New Roman"/>
          <w:sz w:val="28"/>
          <w:szCs w:val="28"/>
        </w:rPr>
        <w:t>ержавне підприємство «Вищедубечанське</w:t>
      </w:r>
      <w:r w:rsidRPr="00072A32">
        <w:rPr>
          <w:rFonts w:ascii="Times New Roman" w:hAnsi="Times New Roman"/>
          <w:sz w:val="28"/>
          <w:szCs w:val="28"/>
        </w:rPr>
        <w:t xml:space="preserve"> лісове господар</w:t>
      </w:r>
      <w:r w:rsidR="00BB62A9">
        <w:rPr>
          <w:rFonts w:ascii="Times New Roman" w:hAnsi="Times New Roman"/>
          <w:sz w:val="28"/>
          <w:szCs w:val="28"/>
        </w:rPr>
        <w:t>ство» підпорядковане Київському</w:t>
      </w:r>
      <w:r w:rsidRPr="00072A32">
        <w:rPr>
          <w:rFonts w:ascii="Times New Roman" w:hAnsi="Times New Roman"/>
          <w:sz w:val="28"/>
          <w:szCs w:val="28"/>
        </w:rPr>
        <w:t xml:space="preserve"> обласному управлінню лісового та мисливського господарства, яке є територіальним органом, Держлісагенства України.</w:t>
      </w:r>
    </w:p>
    <w:p w:rsidR="00724B15" w:rsidRDefault="00724B15" w:rsidP="00724B15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4320"/>
        <w:gridCol w:w="1800"/>
      </w:tblGrid>
      <w:tr w:rsidR="00BB62A9" w:rsidRPr="00373B4F" w:rsidTr="00BB62A9">
        <w:trPr>
          <w:trHeight w:val="728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Найменування лісництв, місцезнаходження контор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Адміністративні райони, міста обласного підпорядкування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Північне,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1938,0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Гутівське, с. Сувид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1834,0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Дачне,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1979,0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Довгобродівське, с. Сувид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1995,0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Хутірське,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1940,0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Центральне, с. Сувид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1931,0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Деснянське, с. Сувид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1936,0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lastRenderedPageBreak/>
              <w:t>Приморське, кв. 597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1710,0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Тарасівське, с. Пірново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1896,0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Острівське, с. Пірново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1849,0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Вищедубечанське, с. Пірново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1687,0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Лебедівське, с. Пірново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1738,0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349,0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Разом по лісництву: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2087,0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Дубечанське,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2142,0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Новосілківське,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2284,0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Хотянівське,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2152,0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Лівобережне, кв. 546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642,9</w:t>
            </w:r>
          </w:p>
        </w:tc>
      </w:tr>
      <w:tr w:rsidR="00BB62A9" w:rsidRPr="00373B4F" w:rsidTr="00BB62A9">
        <w:trPr>
          <w:trHeight w:val="20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526,1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Разом по лісництву: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1169,0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Всього по лісгоспу: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30529,0</w:t>
            </w:r>
          </w:p>
        </w:tc>
      </w:tr>
      <w:tr w:rsidR="00BB62A9" w:rsidRPr="00373B4F" w:rsidTr="00BB62A9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 т.ч. за адміністративними районами: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Вишгородський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29653,9</w:t>
            </w:r>
          </w:p>
        </w:tc>
      </w:tr>
      <w:tr w:rsidR="00BB62A9" w:rsidRPr="00373B4F" w:rsidTr="00BB62A9">
        <w:trPr>
          <w:trHeight w:val="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Броварський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A9" w:rsidRPr="00BB62A9" w:rsidRDefault="00BB62A9" w:rsidP="00BB62A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A9">
              <w:rPr>
                <w:rFonts w:ascii="Times New Roman" w:hAnsi="Times New Roman"/>
                <w:sz w:val="28"/>
                <w:szCs w:val="28"/>
              </w:rPr>
              <w:t>875,1</w:t>
            </w:r>
          </w:p>
        </w:tc>
      </w:tr>
    </w:tbl>
    <w:p w:rsidR="00BB62A9" w:rsidRPr="00072A32" w:rsidRDefault="00BB62A9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59A" w:rsidRDefault="00612E4C" w:rsidP="00685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Лісництво очолює лісничий і помічник лісничого</w:t>
      </w:r>
      <w:r w:rsidR="00EC41BC">
        <w:rPr>
          <w:rFonts w:ascii="Times New Roman" w:hAnsi="Times New Roman"/>
          <w:sz w:val="28"/>
          <w:szCs w:val="28"/>
        </w:rPr>
        <w:t>. Середня площа лісництва</w:t>
      </w:r>
      <w:r w:rsidRPr="00072A32">
        <w:rPr>
          <w:rFonts w:ascii="Times New Roman" w:hAnsi="Times New Roman"/>
          <w:sz w:val="28"/>
          <w:szCs w:val="28"/>
        </w:rPr>
        <w:t xml:space="preserve"> </w:t>
      </w:r>
      <w:r w:rsidR="00EC41BC">
        <w:rPr>
          <w:rFonts w:ascii="Times New Roman" w:hAnsi="Times New Roman"/>
          <w:sz w:val="28"/>
          <w:szCs w:val="28"/>
        </w:rPr>
        <w:t xml:space="preserve"> становить 1908,06 </w:t>
      </w:r>
      <w:r w:rsidRPr="00072A32">
        <w:rPr>
          <w:rFonts w:ascii="Times New Roman" w:hAnsi="Times New Roman"/>
          <w:sz w:val="28"/>
          <w:szCs w:val="28"/>
        </w:rPr>
        <w:t xml:space="preserve"> га. </w:t>
      </w:r>
      <w:r w:rsidR="0068559A">
        <w:rPr>
          <w:rFonts w:ascii="Times New Roman" w:hAnsi="Times New Roman"/>
          <w:sz w:val="28"/>
          <w:szCs w:val="28"/>
        </w:rPr>
        <w:t>Чисельність штатних працівників на підприємстві 92 людини.</w:t>
      </w:r>
    </w:p>
    <w:p w:rsidR="00612E4C" w:rsidRPr="00072A32" w:rsidRDefault="00612E4C" w:rsidP="006855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Підприємство володіє необхідною матеріально-технічною та технологічною базою і достатнім кадровим потенціалом; має сучасне комп’ютерне забезпечення, тобто все необхідне для ведення лісового господарства.</w:t>
      </w:r>
    </w:p>
    <w:p w:rsidR="00612E4C" w:rsidRPr="0068559A" w:rsidRDefault="00612E4C" w:rsidP="00685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Бюджетного фінансування лісгосп не отримує. Витрати лісогосподарської діяльності фінансуються за рахунок власних коштів, а саме за кошти отримані від реалізації лісової продукції.</w:t>
      </w:r>
    </w:p>
    <w:p w:rsidR="00612E4C" w:rsidRPr="00072A32" w:rsidRDefault="00612E4C" w:rsidP="00DA6D14">
      <w:pPr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4. Обгрунтування розміру розрахункової лісосіки.</w:t>
      </w:r>
    </w:p>
    <w:p w:rsidR="00612E4C" w:rsidRPr="00072A32" w:rsidRDefault="00612E4C" w:rsidP="00724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Розрахункова лісосіка – щорічна, науково обгрунтована норма заготівлі деревини в порядку рубок головного користування, яка обраховується та затверджується для кожного власника, постійного користувача лісами по категоріях лісів в розрізі  порід, виходячи з принципів безперервності  використання лісових ресурсів.</w:t>
      </w:r>
    </w:p>
    <w:p w:rsid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>Згідно наказу Мінприроди України №130 від 05.03.2011 року була встановлена розрахункова лісосіка рубок головного користування на 2012-2020 рр.</w:t>
      </w:r>
      <w:r>
        <w:rPr>
          <w:rFonts w:ascii="Times New Roman" w:hAnsi="Times New Roman"/>
          <w:sz w:val="28"/>
          <w:szCs w:val="28"/>
        </w:rPr>
        <w:t xml:space="preserve"> по ДП «Вищедубечанське лісове господарство» </w:t>
      </w:r>
      <w:r w:rsidRPr="00724B15">
        <w:rPr>
          <w:rFonts w:ascii="Times New Roman" w:hAnsi="Times New Roman"/>
          <w:sz w:val="28"/>
          <w:szCs w:val="28"/>
        </w:rPr>
        <w:t xml:space="preserve"> в розмірі 23,03 тис.м</w:t>
      </w:r>
      <w:r w:rsidRPr="00724B15">
        <w:rPr>
          <w:rFonts w:ascii="Times New Roman" w:hAnsi="Times New Roman"/>
          <w:sz w:val="28"/>
          <w:szCs w:val="28"/>
          <w:vertAlign w:val="superscript"/>
        </w:rPr>
        <w:t>3</w:t>
      </w:r>
      <w:r w:rsidRPr="00724B15">
        <w:rPr>
          <w:rFonts w:ascii="Times New Roman" w:hAnsi="Times New Roman"/>
          <w:sz w:val="28"/>
          <w:szCs w:val="28"/>
        </w:rPr>
        <w:t xml:space="preserve"> ліквідної деревини.</w:t>
      </w:r>
    </w:p>
    <w:p w:rsidR="00724B15" w:rsidRP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>Фактичний обсяг заготівель в середньому за рік становив 99,1% середньорічного обсягу діючої розрахункової лісосіки з</w:t>
      </w:r>
      <w:r>
        <w:rPr>
          <w:rFonts w:ascii="Times New Roman" w:hAnsi="Times New Roman"/>
          <w:sz w:val="28"/>
          <w:szCs w:val="28"/>
        </w:rPr>
        <w:t>а ревізійний період (табл. 4).</w:t>
      </w:r>
    </w:p>
    <w:p w:rsidR="00724B15" w:rsidRPr="00724B15" w:rsidRDefault="00724B15" w:rsidP="00724B1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>Вихід ділової деревини близький до проектного.</w:t>
      </w:r>
      <w:r>
        <w:rPr>
          <w:rFonts w:ascii="Times New Roman" w:hAnsi="Times New Roman"/>
          <w:sz w:val="28"/>
          <w:szCs w:val="28"/>
        </w:rPr>
        <w:t xml:space="preserve"> Рубки головного користування проводяться</w:t>
      </w:r>
      <w:r w:rsidRPr="00724B15">
        <w:rPr>
          <w:rFonts w:ascii="Times New Roman" w:hAnsi="Times New Roman"/>
          <w:sz w:val="28"/>
          <w:szCs w:val="28"/>
        </w:rPr>
        <w:t xml:space="preserve"> в місцях запроектованих лісовпорядкуванням.</w:t>
      </w:r>
    </w:p>
    <w:p w:rsidR="00724B15" w:rsidRPr="00724B15" w:rsidRDefault="00724B15" w:rsidP="00724B15">
      <w:pPr>
        <w:spacing w:after="0"/>
        <w:ind w:firstLine="540"/>
        <w:jc w:val="both"/>
      </w:pPr>
      <w:r w:rsidRPr="00724B15">
        <w:rPr>
          <w:rFonts w:ascii="Times New Roman" w:hAnsi="Times New Roman"/>
          <w:sz w:val="28"/>
          <w:szCs w:val="28"/>
        </w:rPr>
        <w:t>Діюча розрахункова лісосіка і фактична заготівля деревини відповідає принципу безперервного і невиснажливого лісокористування.</w:t>
      </w:r>
    </w:p>
    <w:p w:rsidR="00724B15" w:rsidRDefault="00724B15" w:rsidP="00724B15">
      <w:pPr>
        <w:rPr>
          <w:rFonts w:ascii="Times New Roman" w:hAnsi="Times New Roman"/>
          <w:sz w:val="28"/>
          <w:szCs w:val="28"/>
        </w:rPr>
      </w:pPr>
      <w:r w:rsidRPr="00724B15">
        <w:rPr>
          <w:rFonts w:ascii="Times New Roman" w:hAnsi="Times New Roman"/>
          <w:sz w:val="28"/>
          <w:szCs w:val="28"/>
        </w:rPr>
        <w:t xml:space="preserve"> Виконання проекту рубок головного користування (площа – га; запас – тис.м</w:t>
      </w:r>
      <w:r w:rsidRPr="00724B15">
        <w:rPr>
          <w:rFonts w:ascii="Times New Roman" w:hAnsi="Times New Roman"/>
          <w:sz w:val="28"/>
          <w:szCs w:val="28"/>
          <w:vertAlign w:val="superscript"/>
        </w:rPr>
        <w:t>3</w:t>
      </w:r>
      <w:r w:rsidRPr="00724B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Таблиця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80"/>
        <w:gridCol w:w="1080"/>
        <w:gridCol w:w="1080"/>
        <w:gridCol w:w="1080"/>
      </w:tblGrid>
      <w:tr w:rsidR="00724B15" w:rsidRPr="00724B15" w:rsidTr="006F5FF2">
        <w:tc>
          <w:tcPr>
            <w:tcW w:w="2700" w:type="dxa"/>
            <w:vMerge w:val="restart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Господарства</w:t>
            </w:r>
          </w:p>
        </w:tc>
        <w:tc>
          <w:tcPr>
            <w:tcW w:w="3240" w:type="dxa"/>
            <w:gridSpan w:val="3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 xml:space="preserve">Середньорічний обсяг розрахункової лісосіки </w:t>
            </w:r>
          </w:p>
        </w:tc>
        <w:tc>
          <w:tcPr>
            <w:tcW w:w="3240" w:type="dxa"/>
            <w:gridSpan w:val="3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Фактична заготівля деревини в середньому за рік</w:t>
            </w:r>
          </w:p>
        </w:tc>
      </w:tr>
      <w:tr w:rsidR="00724B15" w:rsidRPr="00724B15" w:rsidTr="006F5FF2">
        <w:tc>
          <w:tcPr>
            <w:tcW w:w="2700" w:type="dxa"/>
            <w:vMerge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площа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запас у ліквіді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в тому числі ділової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площа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запас у ліквіді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в тому числі ділової</w:t>
            </w:r>
          </w:p>
        </w:tc>
      </w:tr>
      <w:tr w:rsidR="00724B15" w:rsidRPr="00724B15" w:rsidTr="006F5FF2">
        <w:trPr>
          <w:trHeight w:val="282"/>
        </w:trPr>
        <w:tc>
          <w:tcPr>
            <w:tcW w:w="9180" w:type="dxa"/>
            <w:gridSpan w:val="7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Усього по лісгоспу</w:t>
            </w:r>
          </w:p>
        </w:tc>
      </w:tr>
      <w:tr w:rsidR="00724B15" w:rsidRPr="00724B15" w:rsidTr="006F5FF2">
        <w:trPr>
          <w:trHeight w:val="281"/>
        </w:trPr>
        <w:tc>
          <w:tcPr>
            <w:tcW w:w="9180" w:type="dxa"/>
            <w:gridSpan w:val="7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Суцільнолісосічні рубки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14,68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10,27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14,63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10,39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М’яколистяні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6,29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6,14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2,46</w:t>
            </w:r>
          </w:p>
        </w:tc>
      </w:tr>
      <w:tr w:rsidR="00724B15" w:rsidRPr="00724B15" w:rsidTr="006F5FF2">
        <w:tc>
          <w:tcPr>
            <w:tcW w:w="2700" w:type="dxa"/>
            <w:vAlign w:val="center"/>
          </w:tcPr>
          <w:p w:rsidR="00724B15" w:rsidRPr="00724B15" w:rsidRDefault="00724B15" w:rsidP="006F5FF2">
            <w:pPr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21,47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13,56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21,27</w:t>
            </w:r>
          </w:p>
        </w:tc>
        <w:tc>
          <w:tcPr>
            <w:tcW w:w="1080" w:type="dxa"/>
            <w:vAlign w:val="center"/>
          </w:tcPr>
          <w:p w:rsidR="00724B15" w:rsidRPr="00724B15" w:rsidRDefault="00724B15" w:rsidP="006F5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B15">
              <w:rPr>
                <w:rFonts w:ascii="Times New Roman" w:hAnsi="Times New Roman"/>
                <w:sz w:val="28"/>
                <w:szCs w:val="28"/>
              </w:rPr>
              <w:t>13,06</w:t>
            </w:r>
          </w:p>
        </w:tc>
      </w:tr>
    </w:tbl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lastRenderedPageBreak/>
        <w:t xml:space="preserve">Приймаючи розрахункову лісосіку,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екологічних та інших корисних властивостей. 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Рекомендована лісовпорядкуванням на новий ревізійний період ро</w:t>
      </w:r>
      <w:r w:rsidR="006F5FF2">
        <w:rPr>
          <w:rFonts w:ascii="Times New Roman" w:hAnsi="Times New Roman"/>
          <w:sz w:val="28"/>
          <w:szCs w:val="28"/>
        </w:rPr>
        <w:t>зрахункова лісосіка (табл. 5</w:t>
      </w:r>
      <w:r w:rsidRPr="00CF62D7">
        <w:rPr>
          <w:rFonts w:ascii="Times New Roman" w:hAnsi="Times New Roman"/>
          <w:sz w:val="28"/>
          <w:szCs w:val="28"/>
        </w:rPr>
        <w:t>) на 9,3% менша чинної, що пояснюється зміною вікової структури деревостанів і становить 19,9% загальної середньої зміни запасу.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В рекреаційно-оздоровчих лісах по сосновій госпсекції прийнята лісосіка рівномірного користування; по дубовій госпсекції прийнята розрахункова лісосіка, що забезпечена стиглими насадженнями на 10 років; по березовій госпсекції прийнята розрахункова лісосіка, що забезпечена стиглими насадженнями на 5 років; по чорновільховій госпсекції прийнята перша вікова лісосіка.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В експлуатаційних лісах по сосновій госпсекції прийнята друга вікова лісосіка, а по дубовій – перша вікова.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В усіх випадках розрахункова лісосіка приймалась з таким розрахунком, щоб в цілому по лісгоспу на наступний ревізійний період вона була не менша лісосіки нового після лісовпорядкування ревізійного періоду.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Друга лісовпорядна нарада прийняла рекомендовані лісовпорядкуванням лісосіки без змін.</w:t>
      </w:r>
    </w:p>
    <w:p w:rsidR="00CF62D7" w:rsidRPr="00CF62D7" w:rsidRDefault="00CF62D7" w:rsidP="00CF62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62D7" w:rsidRPr="00CF62D7" w:rsidRDefault="00CF62D7" w:rsidP="00CF62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5.1.4. Порівняльна характеристика обсягів головного користування</w:t>
      </w:r>
    </w:p>
    <w:p w:rsidR="00CF62D7" w:rsidRPr="00CF62D7" w:rsidRDefault="00CF62D7" w:rsidP="00CF62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2D7">
        <w:rPr>
          <w:rFonts w:ascii="Times New Roman" w:hAnsi="Times New Roman"/>
          <w:sz w:val="28"/>
          <w:szCs w:val="28"/>
        </w:rPr>
        <w:t>(запас – тис.м</w:t>
      </w:r>
      <w:r w:rsidRPr="00CF62D7">
        <w:rPr>
          <w:rFonts w:ascii="Times New Roman" w:hAnsi="Times New Roman"/>
          <w:sz w:val="28"/>
          <w:szCs w:val="28"/>
          <w:vertAlign w:val="superscript"/>
        </w:rPr>
        <w:t>3</w:t>
      </w:r>
      <w:r w:rsidRPr="00CF62D7">
        <w:rPr>
          <w:rFonts w:ascii="Times New Roman" w:hAnsi="Times New Roman"/>
          <w:sz w:val="28"/>
          <w:szCs w:val="28"/>
        </w:rPr>
        <w:t xml:space="preserve"> у ліквіді)</w:t>
      </w:r>
    </w:p>
    <w:p w:rsidR="00CF62D7" w:rsidRPr="00CF62D7" w:rsidRDefault="006F5FF2" w:rsidP="006F5F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260"/>
        <w:gridCol w:w="1260"/>
        <w:gridCol w:w="1260"/>
      </w:tblGrid>
      <w:tr w:rsidR="00CF62D7" w:rsidRPr="00CF62D7" w:rsidTr="006F5FF2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В т.ч. по господарствах</w:t>
            </w:r>
          </w:p>
        </w:tc>
      </w:tr>
      <w:tr w:rsidR="00CF62D7" w:rsidRPr="00CF62D7" w:rsidTr="006F5FF2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хвойне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твердо-листяне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м’яко-листяне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1. Щорічна розрахункова лісосіка: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1.1. Рекомендована лісовпорядкуванням</w:t>
            </w:r>
          </w:p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на новий ревізійний період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20,89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18,43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1.2. Встановлена при попередньому</w:t>
            </w:r>
          </w:p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лісовпорядкуванні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1.3. Діюча на рік лісовпорядкування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23,03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18,59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2. Фактична заготівля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ind w:firstLine="1692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lastRenderedPageBreak/>
              <w:t>2012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ind w:firstLine="1692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2013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20,99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18,52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2,19</w:t>
            </w:r>
          </w:p>
        </w:tc>
      </w:tr>
      <w:tr w:rsidR="00CF62D7" w:rsidRPr="00CF62D7" w:rsidTr="006F5F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3. Загальна середня зміна запасу</w:t>
            </w:r>
          </w:p>
          <w:p w:rsidR="00CF62D7" w:rsidRPr="00CF62D7" w:rsidRDefault="00CF62D7" w:rsidP="00CF62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(тис.м</w:t>
            </w:r>
            <w:r w:rsidRPr="00CF62D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CF62D7">
              <w:rPr>
                <w:rFonts w:ascii="Times New Roman" w:hAnsi="Times New Roman"/>
                <w:sz w:val="28"/>
                <w:szCs w:val="28"/>
              </w:rPr>
              <w:t>, стовбурний)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104,94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75,48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5,65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D7" w:rsidRPr="00CF62D7" w:rsidRDefault="00CF62D7" w:rsidP="00CF62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D7">
              <w:rPr>
                <w:rFonts w:ascii="Times New Roman" w:hAnsi="Times New Roman"/>
                <w:sz w:val="28"/>
                <w:szCs w:val="28"/>
              </w:rPr>
              <w:t>23,81</w:t>
            </w:r>
          </w:p>
        </w:tc>
      </w:tr>
    </w:tbl>
    <w:p w:rsidR="001548CC" w:rsidRPr="001548CC" w:rsidRDefault="001548CC" w:rsidP="001548CC">
      <w:pPr>
        <w:spacing w:after="0"/>
        <w:ind w:firstLine="546"/>
        <w:jc w:val="both"/>
        <w:rPr>
          <w:rFonts w:ascii="Times New Roman" w:hAnsi="Times New Roman"/>
          <w:sz w:val="28"/>
          <w:szCs w:val="28"/>
        </w:rPr>
      </w:pPr>
      <w:r w:rsidRPr="001548CC">
        <w:rPr>
          <w:rFonts w:ascii="Times New Roman" w:hAnsi="Times New Roman"/>
          <w:sz w:val="28"/>
          <w:szCs w:val="28"/>
        </w:rPr>
        <w:t xml:space="preserve">Розміщення рубок головного користування проведено з урахуванням наявного експлуатаційного фонду по лісництвах, стану насаджень і існуючої дорожньої мережі. </w:t>
      </w:r>
    </w:p>
    <w:p w:rsidR="001548CC" w:rsidRPr="001548CC" w:rsidRDefault="001548CC" w:rsidP="001548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8CC">
        <w:rPr>
          <w:rFonts w:ascii="Times New Roman" w:hAnsi="Times New Roman"/>
          <w:sz w:val="28"/>
          <w:szCs w:val="28"/>
        </w:rPr>
        <w:t xml:space="preserve">На перші два роки ревізійного періоду лісосіки розміщені в місцях і обсягах фактичного відведення, виконаного лісництвами, а на наступні роки – в обсязі розрахункової лісосіки, прийнятої на ревізійний період з відхиленнями, що допускаються лісовпорядною інструкцією (до </w:t>
      </w:r>
      <w:r w:rsidRPr="001548CC">
        <w:rPr>
          <w:rFonts w:ascii="Times New Roman" w:hAnsi="Times New Roman"/>
          <w:sz w:val="28"/>
          <w:szCs w:val="28"/>
          <w:u w:val="single"/>
        </w:rPr>
        <w:t>+</w:t>
      </w:r>
      <w:r w:rsidRPr="001548CC">
        <w:rPr>
          <w:rFonts w:ascii="Times New Roman" w:hAnsi="Times New Roman"/>
          <w:sz w:val="28"/>
          <w:szCs w:val="28"/>
        </w:rPr>
        <w:t>5% від розрахункової лісосіки по запасу).</w:t>
      </w:r>
    </w:p>
    <w:p w:rsidR="001548CC" w:rsidRPr="001548CC" w:rsidRDefault="001548CC" w:rsidP="001548C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48CC">
        <w:rPr>
          <w:rFonts w:ascii="Times New Roman" w:hAnsi="Times New Roman"/>
          <w:sz w:val="28"/>
          <w:szCs w:val="28"/>
        </w:rPr>
        <w:t xml:space="preserve">По кожному лісництву, в якому є експлуатаційний фонд, на ревізійний період складені відомості рубок головного користування в які внесені з групуванням за п’ятиріччями виділи (частина виділів) стиглих і перестійних деревостанів, можливих для експлуатації. </w:t>
      </w:r>
    </w:p>
    <w:p w:rsidR="00612E4C" w:rsidRPr="001548CC" w:rsidRDefault="001548CC" w:rsidP="001548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8CC">
        <w:rPr>
          <w:rFonts w:ascii="Times New Roman" w:hAnsi="Times New Roman"/>
          <w:sz w:val="28"/>
          <w:szCs w:val="28"/>
        </w:rPr>
        <w:t>Протягом ревізійного періоду крім зазначених у відомості лісових ділянок в рубку, можуть надходити і інші можливі для експлуатації ділянки лісу, які на рік рубки досягли віку стиглості. Відведення таких насаджень в рубку можливе в разі, якщо вони вимагають проведення термінової рубки в зв’язку з їх пошкодженням, усиханням, з втратою захисних функцій, в розладнаних насадженнях, в насадженнях, які в установленому порядку підлягають розчищенню в зв’язку будівництвом; у випадку коли неможливо розмістити по певних господарських секціях наявний лісосічний фонд згідно встановленій розрахунковій лісосіці через необхідність дотримання встановлених термінів примикання лісосік; в зв’язку з будівництвом лісових доріг (їхньою відсутністю), а також в інших випадках, що не входять в протиріччя з положеннями чинних нормативних документів, які регламентують проведення рубок головного користування</w:t>
      </w:r>
    </w:p>
    <w:p w:rsidR="001548CC" w:rsidRDefault="001548CC" w:rsidP="00DA6D1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2E4C" w:rsidRPr="00072A32" w:rsidRDefault="00612E4C" w:rsidP="001548C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5. Умови для моніторингу приросту і динаміки таксаційних показників лісового фонду.</w:t>
      </w:r>
    </w:p>
    <w:p w:rsidR="00612E4C" w:rsidRPr="00072A32" w:rsidRDefault="00612E4C" w:rsidP="00154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Базова інформація про приріст і таксаційні показники збирається в процесі проведення лісовпорядкування, при якому проводиться суцільна інвентаризація всіх лісових ділянок.</w:t>
      </w:r>
    </w:p>
    <w:p w:rsidR="00612E4C" w:rsidRPr="00072A32" w:rsidRDefault="00612E4C" w:rsidP="001548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Поточна інформація визначається по матеріалах безперервного лісовпорядкування, при якому враховуються всі зміни в лісовому фонді підприємства, які відбулися за поточний рік.</w:t>
      </w:r>
    </w:p>
    <w:p w:rsidR="00612E4C" w:rsidRPr="00072A32" w:rsidRDefault="00612E4C" w:rsidP="00CF6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При складанні плану господарської діяльності підприємства, проводиться аналіз таксаційних показників, на які мають вплив</w:t>
      </w:r>
      <w:r w:rsidR="00CF62D7">
        <w:rPr>
          <w:rFonts w:ascii="Times New Roman" w:hAnsi="Times New Roman"/>
          <w:sz w:val="28"/>
          <w:szCs w:val="28"/>
        </w:rPr>
        <w:t>,</w:t>
      </w:r>
      <w:r w:rsidRPr="00072A32">
        <w:rPr>
          <w:rFonts w:ascii="Times New Roman" w:hAnsi="Times New Roman"/>
          <w:sz w:val="28"/>
          <w:szCs w:val="28"/>
        </w:rPr>
        <w:t xml:space="preserve"> обсяги запроектованих і проведених заходів. Показники можли</w:t>
      </w:r>
      <w:r w:rsidR="006F5FF2">
        <w:rPr>
          <w:rFonts w:ascii="Times New Roman" w:hAnsi="Times New Roman"/>
          <w:sz w:val="28"/>
          <w:szCs w:val="28"/>
        </w:rPr>
        <w:t>вих змін приводяться в таблиці 6</w:t>
      </w:r>
      <w:r w:rsidRPr="00072A32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F5FF2" w:rsidP="00DA6D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6</w:t>
      </w:r>
      <w:r w:rsidR="00612E4C" w:rsidRPr="00072A32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DA6D14">
      <w:pPr>
        <w:jc w:val="center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Обсяги запроектованих основних видів робіт на 2019 рік та їх вплив на динаміку лісових земель.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56"/>
        <w:gridCol w:w="4224"/>
        <w:gridCol w:w="1298"/>
        <w:gridCol w:w="3506"/>
      </w:tblGrid>
      <w:tr w:rsidR="00612E4C" w:rsidRPr="00072A32" w:rsidTr="00020715">
        <w:tc>
          <w:tcPr>
            <w:tcW w:w="640" w:type="dxa"/>
            <w:vMerge w:val="restart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232" w:type="dxa"/>
            <w:vMerge w:val="restart"/>
          </w:tcPr>
          <w:p w:rsidR="00612E4C" w:rsidRPr="00072A32" w:rsidRDefault="00BA2B6D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запланованих на 2019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р. основних лісогосподарських заходів</w:t>
            </w:r>
          </w:p>
        </w:tc>
        <w:tc>
          <w:tcPr>
            <w:tcW w:w="4812" w:type="dxa"/>
            <w:gridSpan w:val="2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Обсяги робіт</w:t>
            </w:r>
          </w:p>
        </w:tc>
      </w:tr>
      <w:tr w:rsidR="00612E4C" w:rsidRPr="00072A32" w:rsidTr="00020715">
        <w:tc>
          <w:tcPr>
            <w:tcW w:w="0" w:type="auto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Од. вим.</w:t>
            </w:r>
          </w:p>
        </w:tc>
        <w:tc>
          <w:tcPr>
            <w:tcW w:w="3513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Об’єм </w:t>
            </w:r>
          </w:p>
          <w:p w:rsidR="00612E4C" w:rsidRPr="00072A32" w:rsidRDefault="00D51BEF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(Запас деревини - 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>м3: чисельник – загальний, знаменник – лік від)</w:t>
            </w:r>
          </w:p>
        </w:tc>
      </w:tr>
      <w:tr w:rsidR="00612E4C" w:rsidRPr="00072A32" w:rsidTr="00D51BEF">
        <w:trPr>
          <w:trHeight w:val="705"/>
        </w:trPr>
        <w:tc>
          <w:tcPr>
            <w:tcW w:w="0" w:type="auto"/>
            <w:vAlign w:val="center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Суцільні рубки:</w:t>
            </w:r>
          </w:p>
        </w:tc>
        <w:tc>
          <w:tcPr>
            <w:tcW w:w="1299" w:type="dxa"/>
          </w:tcPr>
          <w:p w:rsidR="00BA2B6D" w:rsidRPr="00072A32" w:rsidRDefault="00BA2B6D" w:rsidP="00BA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12E4C" w:rsidRPr="00072A32" w:rsidRDefault="00BA2B6D" w:rsidP="00BA2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тис. м3</w:t>
            </w:r>
          </w:p>
        </w:tc>
        <w:tc>
          <w:tcPr>
            <w:tcW w:w="3513" w:type="dxa"/>
            <w:vAlign w:val="center"/>
          </w:tcPr>
          <w:p w:rsidR="00612E4C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70</w:t>
            </w:r>
          </w:p>
          <w:p w:rsidR="00D51BEF" w:rsidRPr="00072A32" w:rsidRDefault="008805B0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8487</w:t>
            </w:r>
            <w:r w:rsidR="00D51BEF">
              <w:rPr>
                <w:rFonts w:ascii="Times New Roman" w:hAnsi="Times New Roman"/>
                <w:i/>
                <w:iCs/>
                <w:sz w:val="28"/>
                <w:szCs w:val="28"/>
              </w:rPr>
              <w:t>/7715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 рубки головного користування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тис. м3</w:t>
            </w:r>
          </w:p>
        </w:tc>
        <w:tc>
          <w:tcPr>
            <w:tcW w:w="3513" w:type="dxa"/>
            <w:vAlign w:val="center"/>
          </w:tcPr>
          <w:p w:rsidR="00612E4C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70</w:t>
            </w:r>
          </w:p>
          <w:p w:rsidR="00D51BEF" w:rsidRPr="00072A32" w:rsidRDefault="008805B0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8487</w:t>
            </w:r>
            <w:r w:rsidR="00D51BEF">
              <w:rPr>
                <w:rFonts w:ascii="Times New Roman" w:hAnsi="Times New Roman"/>
                <w:i/>
                <w:iCs/>
                <w:sz w:val="28"/>
                <w:szCs w:val="28"/>
              </w:rPr>
              <w:t>/7715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Поступові рубки головного користування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тис.м3</w:t>
            </w:r>
          </w:p>
        </w:tc>
        <w:tc>
          <w:tcPr>
            <w:tcW w:w="3513" w:type="dxa"/>
            <w:vAlign w:val="center"/>
          </w:tcPr>
          <w:p w:rsidR="00612E4C" w:rsidRPr="00072A32" w:rsidRDefault="00612E4C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Рубки формування та оздоровлення лісів і інші рубки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тис. м3</w:t>
            </w:r>
          </w:p>
        </w:tc>
        <w:tc>
          <w:tcPr>
            <w:tcW w:w="3513" w:type="dxa"/>
            <w:vAlign w:val="center"/>
          </w:tcPr>
          <w:p w:rsidR="00612E4C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2358</w:t>
            </w:r>
          </w:p>
          <w:p w:rsidR="00D51BEF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103500/82065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 В т.ч. Вибіркові санітарні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тис. м3</w:t>
            </w:r>
          </w:p>
        </w:tc>
        <w:tc>
          <w:tcPr>
            <w:tcW w:w="3513" w:type="dxa"/>
            <w:vAlign w:val="center"/>
          </w:tcPr>
          <w:p w:rsidR="00612E4C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1400</w:t>
            </w:r>
          </w:p>
          <w:p w:rsidR="00D51BEF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52600/45400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Лісовідновлення: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612E4C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205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Створення лісових культур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3513" w:type="dxa"/>
            <w:vAlign w:val="center"/>
          </w:tcPr>
          <w:p w:rsidR="00612E4C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205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Сприяння природному оновленню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3513" w:type="dxa"/>
            <w:vAlign w:val="center"/>
          </w:tcPr>
          <w:p w:rsidR="00612E4C" w:rsidRPr="00072A32" w:rsidRDefault="00612E4C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Переведення  у вкриті лісовою рослинністю землі: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3" w:type="dxa"/>
            <w:vAlign w:val="center"/>
          </w:tcPr>
          <w:p w:rsidR="00612E4C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1360</w:t>
            </w: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не зімкнуті лісові культури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3513" w:type="dxa"/>
            <w:vAlign w:val="center"/>
          </w:tcPr>
          <w:p w:rsidR="00612E4C" w:rsidRPr="00072A32" w:rsidRDefault="00612E4C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12E4C" w:rsidRPr="00072A32" w:rsidTr="00D51BEF">
        <w:tc>
          <w:tcPr>
            <w:tcW w:w="640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/>
                <w:iCs/>
                <w:sz w:val="28"/>
                <w:szCs w:val="28"/>
              </w:rPr>
              <w:t>4.2</w:t>
            </w:r>
          </w:p>
        </w:tc>
        <w:tc>
          <w:tcPr>
            <w:tcW w:w="4232" w:type="dxa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/>
                <w:iCs/>
                <w:sz w:val="28"/>
                <w:szCs w:val="28"/>
              </w:rPr>
              <w:t>природне поновлення</w:t>
            </w:r>
          </w:p>
        </w:tc>
        <w:tc>
          <w:tcPr>
            <w:tcW w:w="1299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/>
                <w:iCs/>
                <w:sz w:val="28"/>
                <w:szCs w:val="28"/>
              </w:rPr>
              <w:t>га</w:t>
            </w:r>
          </w:p>
        </w:tc>
        <w:tc>
          <w:tcPr>
            <w:tcW w:w="3513" w:type="dxa"/>
            <w:vAlign w:val="center"/>
          </w:tcPr>
          <w:p w:rsidR="00612E4C" w:rsidRPr="00072A32" w:rsidRDefault="00D51BEF" w:rsidP="00D51B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43</w:t>
            </w:r>
          </w:p>
        </w:tc>
      </w:tr>
    </w:tbl>
    <w:p w:rsidR="00612E4C" w:rsidRPr="00072A32" w:rsidRDefault="00612E4C" w:rsidP="00DA6D14">
      <w:pPr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Примітка: Запас деревини: чисельник - загальна маса / знаменник – ліквідна.</w:t>
      </w:r>
    </w:p>
    <w:p w:rsidR="00612E4C" w:rsidRPr="00072A32" w:rsidRDefault="00612E4C" w:rsidP="00CF6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Обсяги запроектованої з</w:t>
      </w:r>
      <w:r w:rsidR="009739AE">
        <w:rPr>
          <w:rFonts w:ascii="Times New Roman" w:hAnsi="Times New Roman"/>
          <w:sz w:val="28"/>
          <w:szCs w:val="28"/>
        </w:rPr>
        <w:t>аготівлі деревини, становлять 135,180</w:t>
      </w:r>
      <w:r w:rsidRPr="00072A32">
        <w:rPr>
          <w:rFonts w:ascii="Times New Roman" w:hAnsi="Times New Roman"/>
          <w:sz w:val="28"/>
          <w:szCs w:val="28"/>
        </w:rPr>
        <w:t xml:space="preserve"> тис. м3 ліквідної деревини.</w:t>
      </w:r>
    </w:p>
    <w:p w:rsidR="00612E4C" w:rsidRPr="00072A32" w:rsidRDefault="00612E4C" w:rsidP="00CF62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     При проведенні  вибіркових санітарних рубок планується вирубання ростучих пошкоджених  4-6 категорії стану дерев, а на ділянках ушкоджених шкідниками</w:t>
      </w:r>
      <w:r w:rsidR="009739AE">
        <w:rPr>
          <w:rFonts w:ascii="Times New Roman" w:hAnsi="Times New Roman"/>
          <w:sz w:val="28"/>
          <w:szCs w:val="28"/>
        </w:rPr>
        <w:t xml:space="preserve"> та хворобами </w:t>
      </w:r>
      <w:r w:rsidRPr="00072A32">
        <w:rPr>
          <w:rFonts w:ascii="Times New Roman" w:hAnsi="Times New Roman"/>
          <w:sz w:val="28"/>
          <w:szCs w:val="28"/>
        </w:rPr>
        <w:t xml:space="preserve">– 3-6 категорії стану дерев. </w:t>
      </w:r>
    </w:p>
    <w:p w:rsidR="00612E4C" w:rsidRPr="00072A32" w:rsidRDefault="00612E4C" w:rsidP="00CF6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 результаті виконання запроектованих заходів, передбачається незначна зміна динаміки земель лісового фонду та таксаційних показників, тобто зміни відбудуться в  сталих межах.</w:t>
      </w:r>
    </w:p>
    <w:p w:rsidR="00612E4C" w:rsidRPr="00072A32" w:rsidRDefault="00612E4C" w:rsidP="00CF6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Дещо збільшується загальний та поточний приріст деревини на 1 га вкритих лісовою рослинністю земель, що відбудеться за рахунок покращення породної структури насаджень, в результаті проведення рубок формування.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4C" w:rsidRPr="00E16C29" w:rsidRDefault="00612E4C" w:rsidP="00E16C2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C29">
        <w:rPr>
          <w:rFonts w:ascii="Times New Roman" w:hAnsi="Times New Roman"/>
          <w:b/>
          <w:sz w:val="28"/>
          <w:szCs w:val="28"/>
        </w:rPr>
        <w:t>Природоохоронні заходи щодо  охорони довкілля.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План природоохоронних заходів на підприємстві складено у відповідності з Основними напрямками державної політики України у галузі охорони довкілля, використання природних ресурсів та забезпечення екологічної безпеки, затвердженими Постановою Кабінету Міністрів України від 05.03.1998 року №188/98-ВР та іншими діючими нормативно-правовими актами України щодо природоохоронної діяльності.</w:t>
      </w:r>
    </w:p>
    <w:p w:rsidR="00612E4C" w:rsidRPr="00072A32" w:rsidRDefault="001548CC" w:rsidP="00DA6D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7</w:t>
      </w:r>
    </w:p>
    <w:p w:rsidR="00612E4C" w:rsidRPr="00072A32" w:rsidRDefault="00612E4C" w:rsidP="00DA6D14">
      <w:pPr>
        <w:jc w:val="center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Комплекс природоохоронних заходів запланованих на 2019 рік.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6"/>
        <w:gridCol w:w="5286"/>
        <w:gridCol w:w="3622"/>
      </w:tblGrid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Назва природоохоронного заходу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Місце розташування, обсяги, тощо.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1. У сфері поводження з відходами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Переукласти договори із спеціалізованими організаціями на вивезення і передачу відходів для утилізації та розміщення.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Го</w:t>
            </w:r>
            <w:r w:rsidR="001548CC">
              <w:rPr>
                <w:rFonts w:ascii="Times New Roman" w:hAnsi="Times New Roman"/>
                <w:iCs/>
                <w:sz w:val="28"/>
                <w:szCs w:val="28"/>
              </w:rPr>
              <w:t xml:space="preserve">сподарський двір ДП «Вищедубечанський </w:t>
            </w: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лісгосп»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Погодити ліміти на відходи (комунальні, змішані, в тому числі сміття, відпрацьовані шини, брухт чорних металів, зіпсовані і відпрац</w:t>
            </w:r>
            <w:r w:rsidR="003F15A6">
              <w:rPr>
                <w:rFonts w:ascii="Times New Roman" w:hAnsi="Times New Roman"/>
                <w:sz w:val="28"/>
                <w:szCs w:val="28"/>
              </w:rPr>
              <w:t xml:space="preserve">ьовані акумулятори, лампи, </w:t>
            </w:r>
            <w:r w:rsidRPr="00072A32">
              <w:rPr>
                <w:rFonts w:ascii="Times New Roman" w:hAnsi="Times New Roman"/>
                <w:sz w:val="28"/>
                <w:szCs w:val="28"/>
              </w:rPr>
              <w:t xml:space="preserve"> тощо).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Адміністративні перевірки підрозділів підприємства та підприємців щодо дотримання ними санітарних умов в лісах та на виробничих територіях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підрозділи, при проведені комплексних ревізій і цільових перевірках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2. Охорона водних ресурсів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Утримувати свердловину на території виробничого комплексу  за рахунок підприємства.</w:t>
            </w:r>
          </w:p>
        </w:tc>
        <w:tc>
          <w:tcPr>
            <w:tcW w:w="3622" w:type="dxa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Територія лісопромислового  комплексу ДП «Вищедубечанський 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лісгосп».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3F15A6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86" w:type="dxa"/>
            <w:vAlign w:val="center"/>
          </w:tcPr>
          <w:p w:rsidR="003F15A6" w:rsidRPr="003F15A6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5A6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іб</w:t>
            </w:r>
            <w:r w:rsidRPr="003F15A6">
              <w:rPr>
                <w:rFonts w:ascii="Times New Roman" w:hAnsi="Times New Roman"/>
                <w:sz w:val="28"/>
                <w:szCs w:val="28"/>
              </w:rPr>
              <w:t xml:space="preserve">рати проби води </w:t>
            </w:r>
            <w:r>
              <w:rPr>
                <w:rFonts w:ascii="Times New Roman" w:hAnsi="Times New Roman"/>
                <w:sz w:val="28"/>
                <w:szCs w:val="28"/>
              </w:rPr>
              <w:t>та переда</w:t>
            </w:r>
            <w:r w:rsidRPr="003F15A6">
              <w:rPr>
                <w:rFonts w:ascii="Times New Roman" w:hAnsi="Times New Roman"/>
                <w:sz w:val="28"/>
                <w:szCs w:val="28"/>
              </w:rPr>
              <w:t>ти відібрані проби на аналіз у ліцензовану лабораторію.</w:t>
            </w:r>
          </w:p>
        </w:tc>
        <w:tc>
          <w:tcPr>
            <w:tcW w:w="3622" w:type="dxa"/>
            <w:vAlign w:val="center"/>
          </w:tcPr>
          <w:p w:rsidR="003F15A6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 комплекс,</w:t>
            </w:r>
          </w:p>
          <w:p w:rsidR="003F15A6" w:rsidRPr="00072A32" w:rsidRDefault="003F15A6" w:rsidP="00E16C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один раз на рік або при потребі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E16C29" w:rsidRPr="00072A32" w:rsidTr="00E16C29">
        <w:trPr>
          <w:trHeight w:val="475"/>
        </w:trPr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8805B0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B0">
              <w:rPr>
                <w:rFonts w:ascii="Times New Roman" w:hAnsi="Times New Roman"/>
                <w:sz w:val="28"/>
                <w:szCs w:val="28"/>
              </w:rPr>
              <w:t>Утримувати стоянку автомо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білів та місце зберігання ПММ в </w:t>
            </w:r>
            <w:r w:rsidRPr="008805B0">
              <w:rPr>
                <w:rFonts w:ascii="Times New Roman" w:hAnsi="Times New Roman"/>
                <w:sz w:val="28"/>
                <w:szCs w:val="28"/>
              </w:rPr>
              <w:t>належному стані.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комплекс.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Постійно.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Забезпечити наявність достатньої кількості абсорбентів для видалення проливів нафтопродуктів в разі їх утворення.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3. Охорона атмосферного повітря.</w:t>
            </w:r>
          </w:p>
        </w:tc>
      </w:tr>
      <w:tr w:rsidR="00444C05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Проводити контроль джерел викидів забруднюючих речовин (ЗР) на відповідність встановлених гранично допустимих викидів (ГДВ)</w:t>
            </w:r>
          </w:p>
        </w:tc>
        <w:tc>
          <w:tcPr>
            <w:tcW w:w="3622" w:type="dxa"/>
            <w:vAlign w:val="center"/>
          </w:tcPr>
          <w:p w:rsidR="00612E4C" w:rsidRPr="00072A32" w:rsidRDefault="008805B0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Лісопромисловий</w:t>
            </w:r>
            <w:r w:rsidR="00612E4C" w:rsidRPr="00072A32">
              <w:rPr>
                <w:rFonts w:ascii="Times New Roman" w:hAnsi="Times New Roman"/>
                <w:iCs/>
                <w:sz w:val="28"/>
                <w:szCs w:val="28"/>
              </w:rPr>
              <w:t xml:space="preserve"> комплекс.</w:t>
            </w:r>
          </w:p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1 раз в рік</w:t>
            </w:r>
          </w:p>
        </w:tc>
      </w:tr>
      <w:tr w:rsidR="00612E4C" w:rsidRPr="00072A32" w:rsidTr="00E16C29">
        <w:tc>
          <w:tcPr>
            <w:tcW w:w="9684" w:type="dxa"/>
            <w:gridSpan w:val="3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4. У сфері ведення лісового господарства і використання лісових ресурсів.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Дотримання Проекту організації і розвитку лісового господарства, як  системи заходів, спрямованих на забезпечення ефективної охорони і захисту, раціональне використання, підвищення продуктивності лісів і їх відтворення , оцінку лісових ресурсів та моніторингу.</w:t>
            </w:r>
          </w:p>
        </w:tc>
        <w:tc>
          <w:tcPr>
            <w:tcW w:w="3622" w:type="dxa"/>
            <w:vMerge w:val="restart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Лісо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вий фонд ДП «Вищедубечанський лісгосп», площею 30529</w:t>
            </w: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га</w:t>
            </w:r>
          </w:p>
        </w:tc>
      </w:tr>
      <w:tr w:rsidR="008805B0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Проведення аудиту лісової сертифікації, як добровільної ініціативи, спрямованої на забезпечення підтвердження відповідності  ведення лісового господарства на підприємстві, вимогам відповідних міжнародним стандартів (Принципи і Критерії </w:t>
            </w:r>
            <w:r w:rsidRPr="00072A32">
              <w:rPr>
                <w:rFonts w:ascii="Times New Roman" w:hAnsi="Times New Roman"/>
                <w:sz w:val="28"/>
                <w:szCs w:val="28"/>
                <w:lang w:val="en-US"/>
              </w:rPr>
              <w:t>FSC</w:t>
            </w:r>
            <w:r w:rsidRPr="00072A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22" w:type="dxa"/>
            <w:vMerge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Охорона лісів від пожеж, шкідників та хвороб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на всій площі лісів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612E4C" w:rsidRPr="00072A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Перед проведенням лісогосподарських і лісозаготівельних робіт проводити оцінку потенціального впливу на навколишнє природне середовище (ОВНС)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444C05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При проведенні лісогосподарських і лісозаготівельних робіт дотримуватись заходів щодо запобігання або зменшення негативного впливу на навколишнє середовище, відображених в Акті ОВНС та інших нормативних документах.</w:t>
            </w:r>
          </w:p>
        </w:tc>
        <w:tc>
          <w:tcPr>
            <w:tcW w:w="3622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  <w:tr w:rsidR="00E16C29" w:rsidRPr="00072A32" w:rsidTr="00E16C29">
        <w:tc>
          <w:tcPr>
            <w:tcW w:w="77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444C05">
              <w:rPr>
                <w:rFonts w:ascii="Times New Roman" w:hAnsi="Times New Roman"/>
                <w:iCs/>
                <w:sz w:val="28"/>
                <w:szCs w:val="28"/>
              </w:rPr>
              <w:t>.6.</w:t>
            </w:r>
          </w:p>
        </w:tc>
        <w:tc>
          <w:tcPr>
            <w:tcW w:w="5286" w:type="dxa"/>
            <w:vAlign w:val="center"/>
          </w:tcPr>
          <w:p w:rsidR="00612E4C" w:rsidRPr="00072A32" w:rsidRDefault="00612E4C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З метою збереження біорізноманіття, продовжувати виявляти ліси високої природоохоронної цінності та лишати ключові біотопи і об’єкти при проведенні лісосічних робіт.</w:t>
            </w:r>
          </w:p>
        </w:tc>
        <w:tc>
          <w:tcPr>
            <w:tcW w:w="3622" w:type="dxa"/>
            <w:vAlign w:val="center"/>
          </w:tcPr>
          <w:p w:rsidR="00612E4C" w:rsidRPr="00072A32" w:rsidRDefault="00E16C29" w:rsidP="00E16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Всі підрозділи</w:t>
            </w:r>
          </w:p>
        </w:tc>
      </w:tr>
    </w:tbl>
    <w:p w:rsidR="008805B0" w:rsidRDefault="008805B0" w:rsidP="00E16C29">
      <w:pPr>
        <w:rPr>
          <w:rFonts w:ascii="Times New Roman" w:hAnsi="Times New Roman"/>
          <w:b/>
          <w:sz w:val="28"/>
          <w:szCs w:val="28"/>
        </w:rPr>
      </w:pPr>
    </w:p>
    <w:p w:rsidR="00BD348B" w:rsidRDefault="00BD348B" w:rsidP="00E16C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12E4C" w:rsidRPr="00072A32" w:rsidRDefault="00612E4C" w:rsidP="00E16C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7. План виявлення і взяття під охорону рідкісних та зникаючих видів рослин,</w:t>
      </w:r>
      <w:r w:rsidR="00E16C29">
        <w:rPr>
          <w:rFonts w:ascii="Times New Roman" w:hAnsi="Times New Roman"/>
          <w:b/>
          <w:sz w:val="28"/>
          <w:szCs w:val="28"/>
        </w:rPr>
        <w:t xml:space="preserve"> </w:t>
      </w:r>
      <w:r w:rsidRPr="00072A32">
        <w:rPr>
          <w:rFonts w:ascii="Times New Roman" w:hAnsi="Times New Roman"/>
          <w:b/>
          <w:sz w:val="28"/>
          <w:szCs w:val="28"/>
        </w:rPr>
        <w:t>тварин  а також ЛВПЦ</w:t>
      </w:r>
    </w:p>
    <w:p w:rsidR="00612E4C" w:rsidRPr="00072A32" w:rsidRDefault="00612E4C" w:rsidP="00E16C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Охорона біотичного різноманіття включає систему правових, організаційних, економічних, матеріально-технічних, освітніх та інших заходів, спрямованих на збереження, відтворення і використання рослинного та тваринного світу.</w:t>
      </w:r>
    </w:p>
    <w:p w:rsidR="00612E4C" w:rsidRPr="00072A32" w:rsidRDefault="00612E4C" w:rsidP="00E16C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Основні вимоги законодавства щодо забезпечення охорони рослинного світу визначені ст.ст. 25, 26 Закону України «Про рослинний світ», тваринного світу – розділом IV Закону України «Про тваринний світ», рідкісних та зникаючих видів флори і фауни – ст. 11 Закону України «Про Червону книгу України».</w:t>
      </w:r>
    </w:p>
    <w:p w:rsidR="00612E4C" w:rsidRDefault="00612E4C" w:rsidP="00E16C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Охоронні пріоритети задекларовані в основному національному документі,  Червоній книзі України (ЧКУ).</w:t>
      </w:r>
    </w:p>
    <w:p w:rsidR="00612E4C" w:rsidRPr="00072A32" w:rsidRDefault="00E16C29" w:rsidP="009041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дотриманням вимог лісової сертифікації  (</w:t>
      </w:r>
      <w:r>
        <w:rPr>
          <w:rFonts w:ascii="Times New Roman" w:hAnsi="Times New Roman"/>
          <w:sz w:val="28"/>
          <w:szCs w:val="28"/>
          <w:lang w:val="en-US"/>
        </w:rPr>
        <w:t>FSC</w:t>
      </w:r>
      <w:r w:rsidRPr="00E16C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саме Принципу 7 критерію 7.1 на підприємстві розроблений «План по виявленню </w:t>
      </w:r>
      <w:r w:rsidR="00904192">
        <w:rPr>
          <w:rFonts w:ascii="Times New Roman" w:hAnsi="Times New Roman"/>
          <w:sz w:val="28"/>
          <w:szCs w:val="28"/>
        </w:rPr>
        <w:t>рідкісних і зникаючих видів рослин та тварин» (табл.8),  а також розроблена «Програма по виявленню лісів високої природної цінності (ЛВПЦ)»</w:t>
      </w:r>
      <w:r w:rsidR="00437AC6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904192" w:rsidP="009041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8</w:t>
      </w:r>
      <w:r w:rsidR="00612E4C" w:rsidRPr="00072A32">
        <w:rPr>
          <w:rFonts w:ascii="Times New Roman" w:hAnsi="Times New Roman"/>
          <w:sz w:val="28"/>
          <w:szCs w:val="28"/>
        </w:rPr>
        <w:t>.</w:t>
      </w:r>
    </w:p>
    <w:p w:rsidR="00437AC6" w:rsidRDefault="00437AC6" w:rsidP="00437AC6">
      <w:pPr>
        <w:spacing w:after="0"/>
        <w:jc w:val="center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План</w:t>
      </w:r>
    </w:p>
    <w:p w:rsidR="00437AC6" w:rsidRDefault="00437AC6" w:rsidP="00437AC6">
      <w:pPr>
        <w:spacing w:after="0"/>
        <w:jc w:val="center"/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виявлення і взяття під охорону рідкісних і зникаючих видів рослин і тварин по ДП «Вищедубечанський лісгосп» на 2019 рік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16"/>
        <w:gridCol w:w="2920"/>
        <w:gridCol w:w="1911"/>
      </w:tblGrid>
      <w:tr w:rsidR="00437AC6" w:rsidTr="00437AC6">
        <w:tc>
          <w:tcPr>
            <w:tcW w:w="709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Назва заходу виявлення та взяття під охорону рідкісних і зникаючих видів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Заходи щодо охорони рідкісних і зникаючих видів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Хто проводить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Проведення моніторингу існуючих об’єктів природно-заповідного фонду (ПЗФ)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Прохідні рубки та суцільні рубання не проводяться.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Спеціалісти лісгоспу, зацікавлені сторони</w:t>
            </w:r>
          </w:p>
        </w:tc>
      </w:tr>
      <w:tr w:rsidR="00437AC6" w:rsidRPr="00A147B4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 xml:space="preserve">Проведення обстеження земельних лісових ділянок при відводах і таксації лісосік рубок головного користування на 2020 рік. При виявленні виділяються ключові біотопи і об’єкти, згідно переліку ключових біотопів і об’єктів та їх опису. 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 xml:space="preserve">Збереження ключових біотопів і об’єктів. При виявлені гнізда хижих птахів занесених до Червоної книги України (радіусом 500 м.), та чорного лелеки(радіусом 1000 м.), токовищ глухарів, </w:t>
            </w: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lastRenderedPageBreak/>
              <w:t>тетеруків (радіусом 300 м.) виділяється охоронна зона.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lastRenderedPageBreak/>
              <w:t>Спеціалісти лісгоспу, лісничі, зацікавлені сторони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діяльності.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На картах, схемах по лісництвах наносяться рідкісні та зникаючі види та біотопи.</w:t>
            </w: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Спеціалісти лісгоспу</w:t>
            </w:r>
          </w:p>
        </w:tc>
      </w:tr>
      <w:tr w:rsidR="00437AC6" w:rsidTr="00437AC6">
        <w:tc>
          <w:tcPr>
            <w:tcW w:w="709" w:type="dxa"/>
            <w:vAlign w:val="center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16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Залучення зацікавлених сторін та науковців до виявлення рідкісних та зникаючих видів рослин та тварин</w:t>
            </w:r>
          </w:p>
        </w:tc>
        <w:tc>
          <w:tcPr>
            <w:tcW w:w="2920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1" w:type="dxa"/>
          </w:tcPr>
          <w:p w:rsidR="00437AC6" w:rsidRPr="00437AC6" w:rsidRDefault="00437AC6" w:rsidP="00437AC6">
            <w:pPr>
              <w:jc w:val="center"/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437AC6">
              <w:rPr>
                <w:rFonts w:ascii="Times New Roman" w:hAnsi="Times New Roman"/>
                <w:iCs/>
                <w:color w:val="222222"/>
                <w:sz w:val="28"/>
                <w:szCs w:val="28"/>
                <w:shd w:val="clear" w:color="auto" w:fill="FFFFFF"/>
              </w:rPr>
              <w:t>Адміністрація</w:t>
            </w:r>
          </w:p>
        </w:tc>
      </w:tr>
    </w:tbl>
    <w:p w:rsidR="00437AC6" w:rsidRPr="00072A32" w:rsidRDefault="00437AC6" w:rsidP="00437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Охорона видів рослин та тварин занесених до списку рідкісних і зникаючих, на державному рівні забезпечується шляхом заходів:</w:t>
      </w:r>
    </w:p>
    <w:p w:rsidR="00437AC6" w:rsidRPr="00072A32" w:rsidRDefault="00437AC6" w:rsidP="00437A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установка особливого правового статусу, заборон</w:t>
      </w:r>
      <w:r>
        <w:rPr>
          <w:rFonts w:ascii="Times New Roman" w:hAnsi="Times New Roman"/>
          <w:sz w:val="28"/>
          <w:szCs w:val="28"/>
        </w:rPr>
        <w:t>а або обмеження їх використання;</w:t>
      </w:r>
    </w:p>
    <w:p w:rsidR="00437AC6" w:rsidRPr="00072A32" w:rsidRDefault="00437AC6" w:rsidP="00437A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врахування вимог щодо їх охорони під час розробки но</w:t>
      </w:r>
      <w:r>
        <w:rPr>
          <w:rFonts w:ascii="Times New Roman" w:hAnsi="Times New Roman"/>
          <w:sz w:val="28"/>
          <w:szCs w:val="28"/>
        </w:rPr>
        <w:t>рмативних актів місцевого рівня;</w:t>
      </w:r>
    </w:p>
    <w:p w:rsidR="00437AC6" w:rsidRPr="00072A32" w:rsidRDefault="00437AC6" w:rsidP="00437A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системна робота щодо виявлення місць їх зростання, проведення постійного сп</w:t>
      </w:r>
      <w:r>
        <w:rPr>
          <w:rFonts w:ascii="Times New Roman" w:hAnsi="Times New Roman"/>
          <w:sz w:val="28"/>
          <w:szCs w:val="28"/>
        </w:rPr>
        <w:t>остереження за станом популяцій;</w:t>
      </w:r>
    </w:p>
    <w:p w:rsidR="00437AC6" w:rsidRPr="00072A32" w:rsidRDefault="00437AC6" w:rsidP="00437AC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  <w:r w:rsidRPr="00231656">
        <w:rPr>
          <w:rFonts w:ascii="Times New Roman" w:hAnsi="Times New Roman"/>
          <w:sz w:val="28"/>
          <w:szCs w:val="28"/>
        </w:rPr>
        <w:t>пріоритетного створення на територіях, де вони зростають системи заповідних та інших об’єктів, що особливо охороняються</w:t>
      </w:r>
      <w:r w:rsidR="00231656">
        <w:rPr>
          <w:rFonts w:ascii="Times New Roman" w:hAnsi="Times New Roman"/>
          <w:sz w:val="28"/>
          <w:szCs w:val="28"/>
        </w:rPr>
        <w:t>.</w:t>
      </w:r>
      <w:r w:rsidR="00231656" w:rsidRPr="00231656">
        <w:rPr>
          <w:rFonts w:ascii="Times New Roman" w:hAnsi="Times New Roman"/>
          <w:sz w:val="28"/>
          <w:szCs w:val="28"/>
        </w:rPr>
        <w:t xml:space="preserve"> 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7AC6" w:rsidRDefault="00437AC6" w:rsidP="00437A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84FD0">
        <w:rPr>
          <w:rFonts w:ascii="Times New Roman" w:hAnsi="Times New Roman"/>
          <w:b/>
          <w:sz w:val="28"/>
          <w:szCs w:val="28"/>
        </w:rPr>
        <w:t>Програма робіт по виявленню лісів високої природної цінності (ЛВПЦ)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84FD0">
        <w:rPr>
          <w:rFonts w:ascii="Times New Roman" w:hAnsi="Times New Roman"/>
          <w:sz w:val="28"/>
          <w:szCs w:val="28"/>
        </w:rPr>
        <w:t xml:space="preserve"> Будь-який</w:t>
      </w:r>
      <w:r>
        <w:rPr>
          <w:rFonts w:ascii="Times New Roman" w:hAnsi="Times New Roman"/>
          <w:sz w:val="28"/>
          <w:szCs w:val="28"/>
        </w:rPr>
        <w:t xml:space="preserve"> ліс має певну екологічну та соціальну цінність. Така цінність може полягати в наявності рідкісних видів, угрупувань біотопів, місць рекреації або концентрації природних ресурсів, які використовуються місцевим населенням тощо. Там, де визначено, що така цінність має особливе значення або є критично важливою, ліс можна виділити  як особливо  цінним для збереження (</w:t>
      </w:r>
      <w:r w:rsidRPr="00A84FD0">
        <w:rPr>
          <w:rFonts w:ascii="Times New Roman" w:hAnsi="Times New Roman"/>
          <w:b/>
          <w:sz w:val="28"/>
          <w:szCs w:val="28"/>
        </w:rPr>
        <w:t>ОЦЗЛ</w:t>
      </w:r>
      <w:r>
        <w:rPr>
          <w:rFonts w:ascii="Times New Roman" w:hAnsi="Times New Roman"/>
          <w:sz w:val="28"/>
          <w:szCs w:val="28"/>
        </w:rPr>
        <w:t>).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Згідно з чинним «Порядком  поділу лісів на категорії та виділення особливо захисних лісових ділянок», певні лісові території виконують переважно функції досить подібні до функцій категорій та елементів особливо цінних лісів, а умови їх виділення (до проведення консультацій із зацікавленими сторонами) можна брати за основу при встановленні ознак особливо цінних лісів.</w:t>
      </w:r>
    </w:p>
    <w:p w:rsidR="00437AC6" w:rsidRPr="00CB3275" w:rsidRDefault="00437AC6" w:rsidP="00437A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B3275">
        <w:rPr>
          <w:rFonts w:ascii="Times New Roman" w:hAnsi="Times New Roman"/>
          <w:b/>
          <w:sz w:val="28"/>
          <w:szCs w:val="28"/>
        </w:rPr>
        <w:t>План виявлення ЛВПЦ:</w:t>
      </w:r>
    </w:p>
    <w:p w:rsidR="00437AC6" w:rsidRPr="0075279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752796">
        <w:rPr>
          <w:rFonts w:ascii="Times New Roman" w:hAnsi="Times New Roman"/>
          <w:sz w:val="28"/>
          <w:szCs w:val="28"/>
        </w:rPr>
        <w:t>Перевірка уже виділених при лісовпорядкуванні категорій та особливо захисних лісових ділянок щодо їх приналежності до ОЦЗЛ.</w:t>
      </w:r>
    </w:p>
    <w:p w:rsidR="00437AC6" w:rsidRPr="0075279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</w:t>
      </w:r>
      <w:r w:rsidRPr="00752796">
        <w:rPr>
          <w:rFonts w:ascii="Times New Roman" w:hAnsi="Times New Roman"/>
          <w:sz w:val="28"/>
          <w:szCs w:val="28"/>
        </w:rPr>
        <w:t>Виявлення ще не виділених категорій та особливо захисних лісових ділянок, які можна розглядати як ОЦЗЛ. Для цього потрібно:</w:t>
      </w:r>
    </w:p>
    <w:p w:rsidR="00437AC6" w:rsidRDefault="00437AC6" w:rsidP="00437AC6">
      <w:pPr>
        <w:pStyle w:val="af"/>
        <w:spacing w:after="0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додатково проаналізувати лісовий фонд;</w:t>
      </w:r>
    </w:p>
    <w:p w:rsidR="00437AC6" w:rsidRDefault="00437AC6" w:rsidP="00437AC6">
      <w:pPr>
        <w:pStyle w:val="af"/>
        <w:spacing w:after="0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провести додаткові дослідження і спостереження (самостійно або із залученням спеціалістів), зокрема виявити та зареєструвати рідкісні та зникаючі види флори і фауни;</w:t>
      </w:r>
    </w:p>
    <w:p w:rsidR="00437AC6" w:rsidRDefault="00437AC6" w:rsidP="00437AC6">
      <w:pPr>
        <w:pStyle w:val="af"/>
        <w:spacing w:after="0"/>
        <w:ind w:lef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консультації із зацікавленими сторонами.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133B9">
        <w:rPr>
          <w:rFonts w:ascii="Times New Roman" w:hAnsi="Times New Roman"/>
          <w:sz w:val="28"/>
          <w:szCs w:val="28"/>
        </w:rPr>
        <w:t xml:space="preserve">Складання відповідних відомостей ОЦЗЛ та документальне їх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3133B9">
        <w:rPr>
          <w:rFonts w:ascii="Times New Roman" w:hAnsi="Times New Roman"/>
          <w:sz w:val="28"/>
          <w:szCs w:val="28"/>
        </w:rPr>
        <w:t>погодження із зацікавленими сторонами;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Нанесення ідентифікованих ділянок ОЦЗЛ на лісові карти (план насаджень).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Лісові території, які містять важливі на глобальному, національному або регіональному рівнях: осередки біорізноманіття або великі лісові ландшафти, які розташовані в межах одиниці господарювання або містять кілька таких одиниць, де життєздатним популяціям більшості, якщо не всіх аборигенних видів, властиві природні характеристики структури, поширення та чисельності;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Лісові території, що містять рідкісні екосистеми та екосистеми під загрозою зникнення або входять до складу таких екосистем;</w:t>
      </w:r>
    </w:p>
    <w:p w:rsidR="00437AC6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 Лісові території, які забезпечують основні природно-захисні функції;</w:t>
      </w:r>
    </w:p>
    <w:p w:rsidR="00437AC6" w:rsidRPr="003133B9" w:rsidRDefault="00437AC6" w:rsidP="00437A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Лісові території, що є визначальними для задоволення основних потреб або для традиційної культурної ідентичності місцевих громад.</w:t>
      </w:r>
    </w:p>
    <w:p w:rsidR="00612E4C" w:rsidRPr="00072A32" w:rsidRDefault="00612E4C" w:rsidP="00DA6D14">
      <w:pPr>
        <w:rPr>
          <w:rFonts w:ascii="Times New Roman" w:hAnsi="Times New Roman"/>
          <w:sz w:val="28"/>
          <w:szCs w:val="28"/>
        </w:rPr>
      </w:pPr>
    </w:p>
    <w:p w:rsidR="00612E4C" w:rsidRPr="00072A32" w:rsidRDefault="00612E4C" w:rsidP="00DA6D14">
      <w:pPr>
        <w:jc w:val="center"/>
        <w:rPr>
          <w:rFonts w:ascii="Times New Roman" w:hAnsi="Times New Roman"/>
          <w:b/>
          <w:sz w:val="28"/>
          <w:szCs w:val="28"/>
        </w:rPr>
      </w:pPr>
      <w:r w:rsidRPr="00072A32">
        <w:rPr>
          <w:rFonts w:ascii="Times New Roman" w:hAnsi="Times New Roman"/>
          <w:b/>
          <w:sz w:val="28"/>
          <w:szCs w:val="28"/>
        </w:rPr>
        <w:t>8. Опис і обґрунтування використання відповідної заготівельної техніки та устаткування.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Рубка стиглого лісу, - це збір лісового врожаю, що в лісівничій науці трактується як перша фаза лісовідновлення. Виходячи із конкретних  умов зростання на ділянці, де проводяться вирубки стиглого лісу, в залежності від прийнятого рішення щодо лісовідновлення, планується  застосовувати відповідну систему рубання.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Лісозаготівельні роботи плануються проводити способами, які виключають або обмежують негативний вплив на довкілля та лісовідновлення. На кожну лісосіку видається лісорубний квиток, який дає право на заготівлю деревини. У лісорубних квитках 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E4C" w:rsidRPr="00072A32" w:rsidRDefault="00612E4C" w:rsidP="000D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зазначається спосіб рубки і очищення лісосіки, наявність підросту, насінників, ключових біотопів та об’єктів, які повинні бути збережені під час розробки лісосіки.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Лісосіки всіх видів рубок передаються підряднику в розробку по акту. На кожну лісосіку до початку її розробки складається технологічна карта, яка з врахуванням конкретних умов відображає лісівничі та організаційні вимоги до виконання робіт. 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Технологічна карта вміщує, зокрема, перелік підготовчих робіт, визначає схему розробки лісосіки з нанесення на ній виробничих об’єктів, устаткування, шляхів, волоків, способи виконання лісозаготівельних  операцій (валка, обрубка сучків, розрізування стовбурів на сортименти, їх сортування і трелювання, штабелювання, навантаження і вивезення деревини, очищення місць рубок), черговість розробки пасік, передбачає заходи щодо охорони праці та природоохоронні заходи (запобігання ерозії грунтів, збереження ключових біотопів і об’єктів тощо). До технологічної карти додається Акт обстеження даної ділянки, в якому вказані заплановані заходи щодо мінімізації негативного впливу рубки на навколишнє природне середовище (ОВНС).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 час проведення підготовчих робіт на лісосіці та на відстані 50 метрів за межею лісосіки по її периметру,  вздовж лісовозних доріг  та діючих трелювальних шляхів, в радіусі 50 метрів від місць розміщення обігрівального приміщення, верхніх складів, місць розміщення техніки та паливно-мастильних матеріалів звалюють  усі намічені  небезпечні дерева.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Облаштовуються місця для обігріву та відпочинку, встановлюються знаки безпеки на стежках та дорогах, які проходять через лісосіку.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Підготовчі роботи проводить бригада, що виконує основні лісосічні операції.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Всі лісосічні роботи виконуються лише відповідно з вимогами карти технологічного процесу розробки лісосік.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Чинники, які впливають на вибір лісозаготівельної техніки і обладнання наступні: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технологія лісозаготівель, яка включає і спосіб заготівлі деревини (хлистовий чи сортиментний),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площа лісосіки,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об’єм стовбура і запас деревини на лісосіці,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розташування, грунти і рельєф,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відстань трелювання і вивезення деревини,</w:t>
      </w:r>
    </w:p>
    <w:p w:rsidR="00612E4C" w:rsidRPr="00072A32" w:rsidRDefault="00612E4C" w:rsidP="000D5B9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спосіб очищення лісосік від порубкових решток.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 підприємстві застосовується сортиментний спосіб заготівлі деревини, який дає змогу використовувати колісні трактори та машини.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lastRenderedPageBreak/>
        <w:t>Звалювання дерев, обрізування сучків, розрізання  стовбурів на сортименти проводиться бензопилами Хускварна або Штиль.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Після розрізування стовбурів на сортименти проводиться їх трелювання тракторами різних модифікацій  МТЗ-82 «Беларусь», обладнаних кліщовим захватом.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Тип тракторів – колісні універсальні класу 1,4.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Марка двигуна тракторів МТЗ-82 – Д –243, двигуни дизельні чотирьохциліндрові чотирьохтактні з безпосереднім вприском і робочим об’ємом -4,75л.  та номінальною частотою обертів 2200 об/іс..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Потужність), МТЗ – 82, кВт (к.с.) – 60 (81).</w:t>
      </w:r>
    </w:p>
    <w:p w:rsidR="00612E4C" w:rsidRPr="00072A32" w:rsidRDefault="00612E4C" w:rsidP="00DA6D14">
      <w:pPr>
        <w:jc w:val="right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Таблиця </w:t>
      </w:r>
      <w:r w:rsidR="000D5B96">
        <w:rPr>
          <w:rFonts w:ascii="Times New Roman" w:hAnsi="Times New Roman"/>
          <w:sz w:val="28"/>
          <w:szCs w:val="28"/>
        </w:rPr>
        <w:t>9</w:t>
      </w:r>
      <w:r w:rsidRPr="00072A32">
        <w:rPr>
          <w:rFonts w:ascii="Times New Roman" w:hAnsi="Times New Roman"/>
          <w:sz w:val="28"/>
          <w:szCs w:val="28"/>
        </w:rPr>
        <w:t>.</w:t>
      </w:r>
    </w:p>
    <w:p w:rsidR="00612E4C" w:rsidRPr="00072A32" w:rsidRDefault="00612E4C" w:rsidP="00D464FC">
      <w:pPr>
        <w:jc w:val="center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Габарити, вага,  ширина колії та витрати палива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60"/>
        <w:gridCol w:w="1289"/>
        <w:gridCol w:w="5528"/>
      </w:tblGrid>
      <w:tr w:rsidR="00612E4C" w:rsidRPr="00072A32" w:rsidTr="00020715">
        <w:tc>
          <w:tcPr>
            <w:tcW w:w="2660" w:type="dxa"/>
            <w:vMerge w:val="restart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Показники</w:t>
            </w:r>
          </w:p>
        </w:tc>
        <w:tc>
          <w:tcPr>
            <w:tcW w:w="1276" w:type="dxa"/>
            <w:vMerge w:val="restart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 xml:space="preserve">Одиниця </w:t>
            </w:r>
          </w:p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5528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Трактори</w:t>
            </w:r>
          </w:p>
        </w:tc>
      </w:tr>
      <w:tr w:rsidR="00612E4C" w:rsidRPr="00072A32" w:rsidTr="00020715">
        <w:tc>
          <w:tcPr>
            <w:tcW w:w="2660" w:type="dxa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12E4C" w:rsidRPr="00072A32" w:rsidRDefault="00612E4C" w:rsidP="00020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12E4C" w:rsidRPr="00072A32" w:rsidRDefault="00612E4C" w:rsidP="000207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МТЗ-82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Габаритні розміри: довжина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висота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3,93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1,97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2,47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Дорожний просвіт (кліренс), мінімальний під заднім мостом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Конструктивна вага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3,20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Колія трактора регульована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см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 межах</w:t>
            </w: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передні колеса 120-180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задні колеса     135-180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Витрати палива</w:t>
            </w: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A32">
              <w:rPr>
                <w:rFonts w:ascii="Times New Roman" w:hAnsi="Times New Roman"/>
                <w:sz w:val="28"/>
                <w:szCs w:val="28"/>
              </w:rPr>
              <w:t>г/кВт год.</w:t>
            </w: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72A32">
              <w:rPr>
                <w:rFonts w:ascii="Times New Roman" w:hAnsi="Times New Roman"/>
                <w:iCs/>
                <w:sz w:val="28"/>
                <w:szCs w:val="28"/>
              </w:rPr>
              <w:t>230 (від 220 до260)</w:t>
            </w:r>
          </w:p>
        </w:tc>
      </w:tr>
      <w:tr w:rsidR="00612E4C" w:rsidRPr="00072A32" w:rsidTr="000D5B96">
        <w:tc>
          <w:tcPr>
            <w:tcW w:w="2660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12E4C" w:rsidRPr="00072A32" w:rsidRDefault="00612E4C" w:rsidP="000D5B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612E4C" w:rsidRPr="00072A32" w:rsidRDefault="00612E4C" w:rsidP="000D5B96">
      <w:pPr>
        <w:spacing w:after="0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Ємкість паливного баку – 130л.</w:t>
      </w:r>
    </w:p>
    <w:p w:rsidR="00612E4C" w:rsidRPr="00072A32" w:rsidRDefault="00612E4C" w:rsidP="000D5B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Фактичні витрати дизпалива на трелювання 1 м3 деревини становлять 0,476  і масла І-20 – 0,018 літрів.</w:t>
      </w:r>
    </w:p>
    <w:p w:rsidR="00612E4C" w:rsidRPr="00072A32" w:rsidRDefault="00612E4C" w:rsidP="000D5B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Застосування на лісозаготівлях швидкохідних колісних тракторів, які оснащені різноманітним технологічним обладнанням, дає можливість трелювати і одночасно сортувати деревину по породах, сортиментах, розмірах, групах діаметрів, сортах тощо.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Трактори, які використовуються на підприємстві, характеризуються по відношенню до гусеничних тракторів кращою маневреністю та ергономікою, тобто є більш комфортними і пристосованими для використання. Але головне, </w:t>
      </w:r>
      <w:r w:rsidRPr="00072A32">
        <w:rPr>
          <w:rFonts w:ascii="Times New Roman" w:hAnsi="Times New Roman"/>
          <w:sz w:val="28"/>
          <w:szCs w:val="28"/>
        </w:rPr>
        <w:lastRenderedPageBreak/>
        <w:t>що вони в меншій мірі впливають на грунтову поверхню і пошкодження підросту, кореневої системи ростучих дерев та надґрунтового покриву трав’яних і кущових рослин. По наших спостереженнях на лісосіках поступових рубок та суцільних рубках із збереженням підросту збереженість підросту достатньо висока (до 70%). У місцях поодиноких проїздів колісної техніки дрібний підріст не зазнає особливих пошкоджень, а лише приминається до поверхні грунту.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Рельєф лісосік переважно рівнинний.</w:t>
      </w:r>
      <w:r w:rsidR="000D5B96" w:rsidRPr="000D5B96">
        <w:t xml:space="preserve"> </w:t>
      </w:r>
      <w:r w:rsidR="000D5B96" w:rsidRPr="000D5B96">
        <w:rPr>
          <w:rFonts w:ascii="Times New Roman" w:hAnsi="Times New Roman"/>
          <w:sz w:val="28"/>
          <w:szCs w:val="28"/>
        </w:rPr>
        <w:t xml:space="preserve">Переважаючими типами </w:t>
      </w:r>
      <w:r w:rsidR="000D5B96" w:rsidRPr="000D5B96">
        <w:rPr>
          <w:rFonts w:ascii="Times New Roman" w:eastAsia="Batang" w:hAnsi="Times New Roman"/>
          <w:sz w:val="28"/>
          <w:szCs w:val="28"/>
        </w:rPr>
        <w:t>ґ</w:t>
      </w:r>
      <w:r w:rsidR="000D5B96" w:rsidRPr="000D5B96">
        <w:rPr>
          <w:rFonts w:ascii="Times New Roman" w:hAnsi="Times New Roman"/>
          <w:sz w:val="28"/>
          <w:szCs w:val="28"/>
        </w:rPr>
        <w:t>рунтів на території лісгоспу є підзолисті ґрунти з різним механічним складом від піщаних до суглинистих</w:t>
      </w:r>
      <w:r w:rsidRPr="00072A32">
        <w:rPr>
          <w:rFonts w:ascii="Times New Roman" w:hAnsi="Times New Roman"/>
          <w:sz w:val="28"/>
          <w:szCs w:val="28"/>
        </w:rPr>
        <w:t>, на яких багаторазовий прохід техніки по одному сліду (волоку) навіть після літніх опадів не впливає на прохідність і не призводить до значного пошкодження грунту. Такі лісосіки можливо освоювати на протязі року.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На лісосічних роботах впроваджена бригадна форма праці. Бригада виконує весь комплекс робіт від звалювання до очистки лісосіки від порубкових залишків. Виконану роботу приймає</w:t>
      </w:r>
      <w:r w:rsidR="000D5B96">
        <w:rPr>
          <w:rFonts w:ascii="Times New Roman" w:hAnsi="Times New Roman"/>
          <w:sz w:val="28"/>
          <w:szCs w:val="28"/>
        </w:rPr>
        <w:t xml:space="preserve"> лісничий або помічник лісничого, к</w:t>
      </w:r>
      <w:r w:rsidRPr="00072A32">
        <w:rPr>
          <w:rFonts w:ascii="Times New Roman" w:hAnsi="Times New Roman"/>
          <w:sz w:val="28"/>
          <w:szCs w:val="28"/>
        </w:rPr>
        <w:t xml:space="preserve">рім того </w:t>
      </w:r>
      <w:r w:rsidR="000D5B96">
        <w:rPr>
          <w:rFonts w:ascii="Times New Roman" w:hAnsi="Times New Roman"/>
          <w:sz w:val="28"/>
          <w:szCs w:val="28"/>
        </w:rPr>
        <w:t>ведуть</w:t>
      </w:r>
      <w:r w:rsidRPr="00072A32">
        <w:rPr>
          <w:rFonts w:ascii="Times New Roman" w:hAnsi="Times New Roman"/>
          <w:sz w:val="28"/>
          <w:szCs w:val="28"/>
        </w:rPr>
        <w:t xml:space="preserve"> ел</w:t>
      </w:r>
      <w:r w:rsidR="000D5B96">
        <w:rPr>
          <w:rFonts w:ascii="Times New Roman" w:hAnsi="Times New Roman"/>
          <w:sz w:val="28"/>
          <w:szCs w:val="28"/>
        </w:rPr>
        <w:t>ектронний облік деревини, займаю</w:t>
      </w:r>
      <w:r w:rsidRPr="00072A32">
        <w:rPr>
          <w:rFonts w:ascii="Times New Roman" w:hAnsi="Times New Roman"/>
          <w:sz w:val="28"/>
          <w:szCs w:val="28"/>
        </w:rPr>
        <w:t>ть</w:t>
      </w:r>
      <w:r w:rsidR="000D5B96">
        <w:rPr>
          <w:rFonts w:ascii="Times New Roman" w:hAnsi="Times New Roman"/>
          <w:sz w:val="28"/>
          <w:szCs w:val="28"/>
        </w:rPr>
        <w:t>ся відпуском деревини та складаю</w:t>
      </w:r>
      <w:r w:rsidRPr="00072A32">
        <w:rPr>
          <w:rFonts w:ascii="Times New Roman" w:hAnsi="Times New Roman"/>
          <w:sz w:val="28"/>
          <w:szCs w:val="28"/>
        </w:rPr>
        <w:t xml:space="preserve"> звіт про рух лісопродукції.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Одночасно із заготівлею деревини  та після  її закінчення проводиться очищення лісосіки від порубкових залишків.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 залежності від лісорослинних умов і вимог лісовідновлення застосовуються такі способи очищення лісосік:</w:t>
      </w:r>
    </w:p>
    <w:p w:rsidR="00612E4C" w:rsidRPr="00072A32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- збирання </w:t>
      </w:r>
      <w:r w:rsidR="00B97D55">
        <w:rPr>
          <w:rFonts w:ascii="Times New Roman" w:hAnsi="Times New Roman"/>
          <w:sz w:val="28"/>
          <w:szCs w:val="28"/>
        </w:rPr>
        <w:t>порубкових решток у купи</w:t>
      </w:r>
      <w:r w:rsidRPr="00072A32">
        <w:rPr>
          <w:rFonts w:ascii="Times New Roman" w:hAnsi="Times New Roman"/>
          <w:sz w:val="28"/>
          <w:szCs w:val="28"/>
        </w:rPr>
        <w:t xml:space="preserve"> дл</w:t>
      </w:r>
      <w:r w:rsidR="000D5B96">
        <w:rPr>
          <w:rFonts w:ascii="Times New Roman" w:hAnsi="Times New Roman"/>
          <w:sz w:val="28"/>
          <w:szCs w:val="28"/>
        </w:rPr>
        <w:t>я перегнивання в місці збирання;</w:t>
      </w:r>
    </w:p>
    <w:p w:rsidR="00612E4C" w:rsidRDefault="00612E4C" w:rsidP="000D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 xml:space="preserve">- збирання порубкових решток у </w:t>
      </w:r>
      <w:r w:rsidR="000D5B96">
        <w:rPr>
          <w:rFonts w:ascii="Times New Roman" w:hAnsi="Times New Roman"/>
          <w:sz w:val="28"/>
          <w:szCs w:val="28"/>
        </w:rPr>
        <w:t>купи з наступним їх спалюванням;</w:t>
      </w:r>
    </w:p>
    <w:p w:rsidR="00612E4C" w:rsidRPr="00072A32" w:rsidRDefault="000D5B96" w:rsidP="00B97D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комбінований.</w:t>
      </w:r>
    </w:p>
    <w:p w:rsidR="00612E4C" w:rsidRPr="00072A32" w:rsidRDefault="00612E4C" w:rsidP="00DA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2A32">
        <w:rPr>
          <w:rFonts w:ascii="Times New Roman" w:hAnsi="Times New Roman"/>
          <w:sz w:val="28"/>
          <w:szCs w:val="28"/>
        </w:rPr>
        <w:t>Вивезення дере</w:t>
      </w:r>
      <w:r w:rsidR="000D5B96">
        <w:rPr>
          <w:rFonts w:ascii="Times New Roman" w:hAnsi="Times New Roman"/>
          <w:sz w:val="28"/>
          <w:szCs w:val="28"/>
        </w:rPr>
        <w:t xml:space="preserve">вини з верхніх складів лісництв </w:t>
      </w:r>
      <w:r w:rsidRPr="00072A32">
        <w:rPr>
          <w:rFonts w:ascii="Times New Roman" w:hAnsi="Times New Roman"/>
          <w:sz w:val="28"/>
          <w:szCs w:val="28"/>
        </w:rPr>
        <w:t xml:space="preserve">проводиться сортиментами, </w:t>
      </w:r>
      <w:r w:rsidR="00372255">
        <w:rPr>
          <w:rFonts w:ascii="Times New Roman" w:hAnsi="Times New Roman"/>
          <w:sz w:val="28"/>
          <w:szCs w:val="28"/>
        </w:rPr>
        <w:t xml:space="preserve">тракторами </w:t>
      </w:r>
      <w:r w:rsidR="00372255" w:rsidRPr="00072A32">
        <w:rPr>
          <w:rFonts w:ascii="Times New Roman" w:hAnsi="Times New Roman"/>
          <w:sz w:val="28"/>
          <w:szCs w:val="28"/>
        </w:rPr>
        <w:t>різних модифікацій  МТЗ-82 «Беларусь»</w:t>
      </w:r>
      <w:r w:rsidR="00372255">
        <w:rPr>
          <w:rFonts w:ascii="Times New Roman" w:hAnsi="Times New Roman"/>
          <w:sz w:val="28"/>
          <w:szCs w:val="28"/>
        </w:rPr>
        <w:t xml:space="preserve"> та </w:t>
      </w:r>
      <w:r w:rsidRPr="00072A32">
        <w:rPr>
          <w:rFonts w:ascii="Times New Roman" w:hAnsi="Times New Roman"/>
          <w:sz w:val="28"/>
          <w:szCs w:val="28"/>
        </w:rPr>
        <w:t xml:space="preserve"> автомобілями </w:t>
      </w:r>
      <w:r w:rsidR="00372255">
        <w:rPr>
          <w:rFonts w:ascii="Times New Roman" w:hAnsi="Times New Roman"/>
          <w:sz w:val="28"/>
          <w:szCs w:val="28"/>
        </w:rPr>
        <w:t>УРАЛ 43</w:t>
      </w:r>
      <w:r w:rsidRPr="00072A32">
        <w:rPr>
          <w:rFonts w:ascii="Times New Roman" w:hAnsi="Times New Roman"/>
          <w:sz w:val="28"/>
          <w:szCs w:val="28"/>
        </w:rPr>
        <w:t>20</w:t>
      </w:r>
      <w:r w:rsidR="00372255">
        <w:rPr>
          <w:rFonts w:ascii="Times New Roman" w:hAnsi="Times New Roman"/>
          <w:sz w:val="28"/>
          <w:szCs w:val="28"/>
        </w:rPr>
        <w:t>, Краз 6446, Камаз 5320</w:t>
      </w:r>
      <w:r w:rsidRPr="00072A32">
        <w:rPr>
          <w:rFonts w:ascii="Times New Roman" w:hAnsi="Times New Roman"/>
          <w:sz w:val="28"/>
          <w:szCs w:val="28"/>
        </w:rPr>
        <w:t xml:space="preserve"> на яких установлені гідроманіпулятори  </w:t>
      </w:r>
      <w:r w:rsidRPr="00072A32">
        <w:rPr>
          <w:rFonts w:ascii="Times New Roman" w:hAnsi="Times New Roman"/>
          <w:sz w:val="28"/>
          <w:szCs w:val="28"/>
          <w:lang w:val="en-US"/>
        </w:rPr>
        <w:t>WE</w:t>
      </w:r>
      <w:r w:rsidRPr="00372255">
        <w:rPr>
          <w:rFonts w:ascii="Times New Roman" w:hAnsi="Times New Roman"/>
          <w:sz w:val="28"/>
          <w:szCs w:val="28"/>
        </w:rPr>
        <w:t xml:space="preserve"> – 6700</w:t>
      </w:r>
      <w:r w:rsidRPr="00072A32">
        <w:rPr>
          <w:rFonts w:ascii="Times New Roman" w:hAnsi="Times New Roman"/>
          <w:sz w:val="28"/>
          <w:szCs w:val="28"/>
        </w:rPr>
        <w:t>,</w:t>
      </w:r>
      <w:r w:rsidR="00372255">
        <w:rPr>
          <w:rFonts w:ascii="Times New Roman" w:hAnsi="Times New Roman"/>
          <w:sz w:val="28"/>
          <w:szCs w:val="28"/>
        </w:rPr>
        <w:t xml:space="preserve"> </w:t>
      </w:r>
      <w:r w:rsidR="00372255">
        <w:rPr>
          <w:rFonts w:ascii="Times New Roman" w:hAnsi="Times New Roman"/>
          <w:sz w:val="28"/>
          <w:szCs w:val="28"/>
          <w:lang w:val="en-US"/>
        </w:rPr>
        <w:t>WE</w:t>
      </w:r>
      <w:r w:rsidR="00372255" w:rsidRPr="00372255">
        <w:rPr>
          <w:rFonts w:ascii="Times New Roman" w:hAnsi="Times New Roman"/>
          <w:sz w:val="28"/>
          <w:szCs w:val="28"/>
        </w:rPr>
        <w:t xml:space="preserve"> – 12</w:t>
      </w:r>
      <w:r w:rsidR="00372255">
        <w:rPr>
          <w:rFonts w:ascii="Times New Roman" w:hAnsi="Times New Roman"/>
          <w:sz w:val="28"/>
          <w:szCs w:val="28"/>
          <w:lang w:val="en-US"/>
        </w:rPr>
        <w:t>D</w:t>
      </w:r>
      <w:r w:rsidR="008829EA">
        <w:rPr>
          <w:rFonts w:ascii="Times New Roman" w:hAnsi="Times New Roman"/>
          <w:sz w:val="28"/>
          <w:szCs w:val="28"/>
        </w:rPr>
        <w:t xml:space="preserve"> Палмс-700. </w:t>
      </w:r>
      <w:r w:rsidR="008829EA" w:rsidRPr="00072A32">
        <w:rPr>
          <w:rFonts w:ascii="Times New Roman" w:hAnsi="Times New Roman"/>
          <w:sz w:val="28"/>
          <w:szCs w:val="28"/>
        </w:rPr>
        <w:t>Вантажник лісу (гідроманіпулятор)</w:t>
      </w:r>
      <w:r w:rsidRPr="00072A32">
        <w:rPr>
          <w:rFonts w:ascii="Times New Roman" w:hAnsi="Times New Roman"/>
          <w:sz w:val="28"/>
          <w:szCs w:val="28"/>
        </w:rPr>
        <w:t xml:space="preserve"> </w:t>
      </w:r>
      <w:r w:rsidR="008829EA" w:rsidRPr="00072A32">
        <w:rPr>
          <w:rFonts w:ascii="Times New Roman" w:hAnsi="Times New Roman"/>
          <w:sz w:val="28"/>
          <w:szCs w:val="28"/>
        </w:rPr>
        <w:t>застосовуються для навантаження і розвантаження сортиментів та підтягування їх і штабелювання. Встановлені за кабінами автомобілів.</w:t>
      </w:r>
    </w:p>
    <w:p w:rsidR="00612E4C" w:rsidRPr="00072A32" w:rsidRDefault="00612E4C" w:rsidP="00DA6D14">
      <w:pPr>
        <w:jc w:val="right"/>
        <w:rPr>
          <w:rFonts w:ascii="Times New Roman" w:hAnsi="Times New Roman"/>
          <w:sz w:val="28"/>
          <w:szCs w:val="28"/>
        </w:rPr>
      </w:pPr>
    </w:p>
    <w:p w:rsidR="00612E4C" w:rsidRPr="00072A32" w:rsidRDefault="008829EA" w:rsidP="008829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лісгоспу                                                                  М.П. Головецький</w:t>
      </w:r>
    </w:p>
    <w:p w:rsidR="00612E4C" w:rsidRPr="00072A32" w:rsidRDefault="00612E4C" w:rsidP="00DA6D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2E4C" w:rsidRPr="00072A32" w:rsidRDefault="00612E4C" w:rsidP="00DA6D1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12E4C" w:rsidRPr="00072A32" w:rsidSect="0039662B">
      <w:headerReference w:type="even" r:id="rId8"/>
      <w:headerReference w:type="default" r:id="rId9"/>
      <w:pgSz w:w="11906" w:h="16838"/>
      <w:pgMar w:top="540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DC" w:rsidRDefault="001365DC" w:rsidP="00381562">
      <w:pPr>
        <w:spacing w:after="0" w:line="240" w:lineRule="auto"/>
      </w:pPr>
      <w:r>
        <w:separator/>
      </w:r>
    </w:p>
  </w:endnote>
  <w:endnote w:type="continuationSeparator" w:id="1">
    <w:p w:rsidR="001365DC" w:rsidRDefault="001365DC" w:rsidP="0038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DC" w:rsidRDefault="001365DC" w:rsidP="00381562">
      <w:pPr>
        <w:spacing w:after="0" w:line="240" w:lineRule="auto"/>
      </w:pPr>
      <w:r>
        <w:separator/>
      </w:r>
    </w:p>
  </w:footnote>
  <w:footnote w:type="continuationSeparator" w:id="1">
    <w:p w:rsidR="001365DC" w:rsidRDefault="001365DC" w:rsidP="0038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F4" w:rsidRDefault="00805A9F" w:rsidP="003966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624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24F4" w:rsidRDefault="001624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F4" w:rsidRDefault="00805A9F" w:rsidP="003966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624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348B">
      <w:rPr>
        <w:rStyle w:val="ae"/>
        <w:noProof/>
      </w:rPr>
      <w:t>2</w:t>
    </w:r>
    <w:r>
      <w:rPr>
        <w:rStyle w:val="ae"/>
      </w:rPr>
      <w:fldChar w:fldCharType="end"/>
    </w:r>
  </w:p>
  <w:p w:rsidR="001624F4" w:rsidRDefault="001624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AA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40E0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141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08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CA9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04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AB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4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00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0C4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A74ED"/>
    <w:multiLevelType w:val="hybridMultilevel"/>
    <w:tmpl w:val="FAA8CB2E"/>
    <w:lvl w:ilvl="0" w:tplc="6E8EB7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A8450B"/>
    <w:multiLevelType w:val="hybridMultilevel"/>
    <w:tmpl w:val="0E08A678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F437AA"/>
    <w:multiLevelType w:val="hybridMultilevel"/>
    <w:tmpl w:val="C3E8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F7D2C"/>
    <w:multiLevelType w:val="hybridMultilevel"/>
    <w:tmpl w:val="DA58FB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677A1D"/>
    <w:multiLevelType w:val="hybridMultilevel"/>
    <w:tmpl w:val="F274FAD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D14"/>
    <w:rsid w:val="00004320"/>
    <w:rsid w:val="00020715"/>
    <w:rsid w:val="000405E6"/>
    <w:rsid w:val="00046FBC"/>
    <w:rsid w:val="00065CC4"/>
    <w:rsid w:val="00072A32"/>
    <w:rsid w:val="000800A2"/>
    <w:rsid w:val="00083D50"/>
    <w:rsid w:val="00086DBF"/>
    <w:rsid w:val="000940F9"/>
    <w:rsid w:val="000A0E04"/>
    <w:rsid w:val="000B437D"/>
    <w:rsid w:val="000C5896"/>
    <w:rsid w:val="000D5B96"/>
    <w:rsid w:val="00110D4B"/>
    <w:rsid w:val="0012553E"/>
    <w:rsid w:val="001365DC"/>
    <w:rsid w:val="001548CC"/>
    <w:rsid w:val="0016231F"/>
    <w:rsid w:val="001624F4"/>
    <w:rsid w:val="00163A2B"/>
    <w:rsid w:val="001741DD"/>
    <w:rsid w:val="00177290"/>
    <w:rsid w:val="00184CF3"/>
    <w:rsid w:val="001923B7"/>
    <w:rsid w:val="00197ECD"/>
    <w:rsid w:val="001A47A6"/>
    <w:rsid w:val="001C17B3"/>
    <w:rsid w:val="001D706C"/>
    <w:rsid w:val="00211869"/>
    <w:rsid w:val="0021719F"/>
    <w:rsid w:val="002229CF"/>
    <w:rsid w:val="00231656"/>
    <w:rsid w:val="00233196"/>
    <w:rsid w:val="00260644"/>
    <w:rsid w:val="0027681A"/>
    <w:rsid w:val="002B47D2"/>
    <w:rsid w:val="002E38E3"/>
    <w:rsid w:val="002F13D6"/>
    <w:rsid w:val="002F5158"/>
    <w:rsid w:val="00325FF5"/>
    <w:rsid w:val="00331932"/>
    <w:rsid w:val="00372255"/>
    <w:rsid w:val="00381562"/>
    <w:rsid w:val="00385AE0"/>
    <w:rsid w:val="0039662B"/>
    <w:rsid w:val="003A126C"/>
    <w:rsid w:val="003B22C2"/>
    <w:rsid w:val="003B2D79"/>
    <w:rsid w:val="003C42F1"/>
    <w:rsid w:val="003C70C9"/>
    <w:rsid w:val="003D61BA"/>
    <w:rsid w:val="003D68B8"/>
    <w:rsid w:val="003E11B7"/>
    <w:rsid w:val="003F15A6"/>
    <w:rsid w:val="00401281"/>
    <w:rsid w:val="0041015A"/>
    <w:rsid w:val="00426AE0"/>
    <w:rsid w:val="0043682C"/>
    <w:rsid w:val="00437AC6"/>
    <w:rsid w:val="00443DD8"/>
    <w:rsid w:val="00444C05"/>
    <w:rsid w:val="0046051C"/>
    <w:rsid w:val="00462030"/>
    <w:rsid w:val="004708ED"/>
    <w:rsid w:val="00471995"/>
    <w:rsid w:val="004866D4"/>
    <w:rsid w:val="004A09AA"/>
    <w:rsid w:val="004B28C8"/>
    <w:rsid w:val="004E073F"/>
    <w:rsid w:val="004E1321"/>
    <w:rsid w:val="004F470F"/>
    <w:rsid w:val="005005FD"/>
    <w:rsid w:val="0053380B"/>
    <w:rsid w:val="00577110"/>
    <w:rsid w:val="0058081B"/>
    <w:rsid w:val="00594731"/>
    <w:rsid w:val="005C6409"/>
    <w:rsid w:val="005D107B"/>
    <w:rsid w:val="00612E4C"/>
    <w:rsid w:val="00625D9D"/>
    <w:rsid w:val="00653940"/>
    <w:rsid w:val="0067634E"/>
    <w:rsid w:val="0068559A"/>
    <w:rsid w:val="006A64C6"/>
    <w:rsid w:val="006C4E50"/>
    <w:rsid w:val="006D0F93"/>
    <w:rsid w:val="006D4162"/>
    <w:rsid w:val="006F5FF2"/>
    <w:rsid w:val="00724B15"/>
    <w:rsid w:val="0073151A"/>
    <w:rsid w:val="007440B6"/>
    <w:rsid w:val="0075132B"/>
    <w:rsid w:val="0076154C"/>
    <w:rsid w:val="007645B1"/>
    <w:rsid w:val="007E3596"/>
    <w:rsid w:val="00805A9F"/>
    <w:rsid w:val="00813E01"/>
    <w:rsid w:val="00844AF9"/>
    <w:rsid w:val="008805B0"/>
    <w:rsid w:val="008829EA"/>
    <w:rsid w:val="008B2F2A"/>
    <w:rsid w:val="008C0D9E"/>
    <w:rsid w:val="008E488D"/>
    <w:rsid w:val="00904192"/>
    <w:rsid w:val="00904E07"/>
    <w:rsid w:val="00920842"/>
    <w:rsid w:val="00933DE4"/>
    <w:rsid w:val="00954708"/>
    <w:rsid w:val="009559F3"/>
    <w:rsid w:val="0096237B"/>
    <w:rsid w:val="009739AE"/>
    <w:rsid w:val="00980C57"/>
    <w:rsid w:val="0098793E"/>
    <w:rsid w:val="00992858"/>
    <w:rsid w:val="009A11D2"/>
    <w:rsid w:val="009D2CE8"/>
    <w:rsid w:val="009D41EA"/>
    <w:rsid w:val="009F54C6"/>
    <w:rsid w:val="009F573D"/>
    <w:rsid w:val="00A06E56"/>
    <w:rsid w:val="00A16E98"/>
    <w:rsid w:val="00A2252D"/>
    <w:rsid w:val="00A24B03"/>
    <w:rsid w:val="00A42E07"/>
    <w:rsid w:val="00A47A2C"/>
    <w:rsid w:val="00A524E1"/>
    <w:rsid w:val="00AB1D45"/>
    <w:rsid w:val="00AB3672"/>
    <w:rsid w:val="00AD0CE6"/>
    <w:rsid w:val="00AD20E3"/>
    <w:rsid w:val="00AD4ADB"/>
    <w:rsid w:val="00AE0497"/>
    <w:rsid w:val="00AE7BAD"/>
    <w:rsid w:val="00AF7396"/>
    <w:rsid w:val="00B71E37"/>
    <w:rsid w:val="00B96E90"/>
    <w:rsid w:val="00B97D55"/>
    <w:rsid w:val="00BA2B6D"/>
    <w:rsid w:val="00BB0424"/>
    <w:rsid w:val="00BB11A0"/>
    <w:rsid w:val="00BB6289"/>
    <w:rsid w:val="00BB62A9"/>
    <w:rsid w:val="00BB7BD8"/>
    <w:rsid w:val="00BD348B"/>
    <w:rsid w:val="00BD632D"/>
    <w:rsid w:val="00BE214A"/>
    <w:rsid w:val="00BE6A59"/>
    <w:rsid w:val="00C029A0"/>
    <w:rsid w:val="00C102B1"/>
    <w:rsid w:val="00C30117"/>
    <w:rsid w:val="00C848E1"/>
    <w:rsid w:val="00C90380"/>
    <w:rsid w:val="00CB5436"/>
    <w:rsid w:val="00CE1C91"/>
    <w:rsid w:val="00CE3BD5"/>
    <w:rsid w:val="00CF1A10"/>
    <w:rsid w:val="00CF62D7"/>
    <w:rsid w:val="00D2203C"/>
    <w:rsid w:val="00D23034"/>
    <w:rsid w:val="00D24E84"/>
    <w:rsid w:val="00D27C67"/>
    <w:rsid w:val="00D464FC"/>
    <w:rsid w:val="00D51BEF"/>
    <w:rsid w:val="00D704FF"/>
    <w:rsid w:val="00D83361"/>
    <w:rsid w:val="00D939B7"/>
    <w:rsid w:val="00DA6D14"/>
    <w:rsid w:val="00E16C29"/>
    <w:rsid w:val="00E30F57"/>
    <w:rsid w:val="00E7174D"/>
    <w:rsid w:val="00E950B8"/>
    <w:rsid w:val="00EC41BC"/>
    <w:rsid w:val="00F14893"/>
    <w:rsid w:val="00F41E3D"/>
    <w:rsid w:val="00F50947"/>
    <w:rsid w:val="00F576B4"/>
    <w:rsid w:val="00F8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2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A6D1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D1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A6D1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A6D14"/>
    <w:rPr>
      <w:rFonts w:cs="Times New Roman"/>
      <w:color w:val="800080"/>
      <w:u w:val="single"/>
    </w:rPr>
  </w:style>
  <w:style w:type="paragraph" w:styleId="a5">
    <w:name w:val="Title"/>
    <w:basedOn w:val="a"/>
    <w:link w:val="a6"/>
    <w:uiPriority w:val="99"/>
    <w:qFormat/>
    <w:rsid w:val="00DA6D1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DA6D1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DA6D1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DA6D1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DA6D1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A6D14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A6D14"/>
    <w:pPr>
      <w:spacing w:after="0" w:line="240" w:lineRule="auto"/>
      <w:ind w:left="225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D14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DA6D1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DA6D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A6D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A6D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DA6D14"/>
    <w:rPr>
      <w:rFonts w:cs="Times New Roman"/>
    </w:rPr>
  </w:style>
  <w:style w:type="paragraph" w:styleId="af">
    <w:name w:val="List Paragraph"/>
    <w:basedOn w:val="a"/>
    <w:uiPriority w:val="34"/>
    <w:qFormat/>
    <w:rsid w:val="004B28C8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rsid w:val="00410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1015A"/>
    <w:rPr>
      <w:rFonts w:cs="Times New Roman"/>
    </w:rPr>
  </w:style>
  <w:style w:type="paragraph" w:styleId="HTML">
    <w:name w:val="HTML Preformatted"/>
    <w:basedOn w:val="a"/>
    <w:link w:val="HTML0"/>
    <w:locked/>
    <w:rsid w:val="004E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073F"/>
    <w:rPr>
      <w:rFonts w:ascii="Courier New" w:hAnsi="Courier New" w:cs="Courier New"/>
      <w:sz w:val="20"/>
      <w:szCs w:val="20"/>
      <w:lang w:val="uk-UA" w:eastAsia="ru-RU"/>
    </w:rPr>
  </w:style>
  <w:style w:type="paragraph" w:styleId="af2">
    <w:name w:val="Body Text Indent"/>
    <w:basedOn w:val="a"/>
    <w:link w:val="af3"/>
    <w:uiPriority w:val="99"/>
    <w:semiHidden/>
    <w:unhideWhenUsed/>
    <w:locked/>
    <w:rsid w:val="00BB62A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62A9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B15-370F-4141-8DED-0176BB42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20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УкрНДІЛГА</cp:lastModifiedBy>
  <cp:revision>35</cp:revision>
  <cp:lastPrinted>2019-10-01T08:32:00Z</cp:lastPrinted>
  <dcterms:created xsi:type="dcterms:W3CDTF">2017-02-13T10:25:00Z</dcterms:created>
  <dcterms:modified xsi:type="dcterms:W3CDTF">2019-11-11T10:06:00Z</dcterms:modified>
</cp:coreProperties>
</file>